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85" w:rsidRPr="00EA7AEA" w:rsidRDefault="003170A6">
      <w:pPr>
        <w:rPr>
          <w:rFonts w:cs="Arial"/>
        </w:rPr>
      </w:pPr>
      <w:r w:rsidRPr="00EA7AEA">
        <w:rPr>
          <w:rFonts w:cs="Arial"/>
          <w:noProof/>
          <w:lang w:eastAsia="en-GB"/>
        </w:rPr>
        <w:drawing>
          <wp:anchor distT="0" distB="0" distL="114300" distR="114300" simplePos="0" relativeHeight="251658240" behindDoc="0" locked="0" layoutInCell="1" allowOverlap="1" wp14:anchorId="6137E29F" wp14:editId="37FDD949">
            <wp:simplePos x="0" y="0"/>
            <wp:positionH relativeFrom="column">
              <wp:posOffset>3321685</wp:posOffset>
            </wp:positionH>
            <wp:positionV relativeFrom="paragraph">
              <wp:posOffset>6350</wp:posOffset>
            </wp:positionV>
            <wp:extent cx="2962275" cy="895350"/>
            <wp:effectExtent l="0" t="0" r="9525" b="0"/>
            <wp:wrapSquare wrapText="bothSides"/>
            <wp:docPr id="3" name="Picture 3" descr="NHS_Glos_C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HS_Glos_CC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22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E9A" w:rsidRPr="00EA7AEA" w:rsidRDefault="00461E9A" w:rsidP="003170A6">
      <w:pPr>
        <w:jc w:val="right"/>
        <w:rPr>
          <w:rFonts w:cs="Arial"/>
        </w:rPr>
      </w:pPr>
    </w:p>
    <w:p w:rsidR="003170A6" w:rsidRPr="00EA7AEA" w:rsidRDefault="003170A6">
      <w:pPr>
        <w:rPr>
          <w:rFonts w:cs="Arial"/>
        </w:rPr>
      </w:pPr>
    </w:p>
    <w:p w:rsidR="003170A6" w:rsidRPr="00EA7AEA" w:rsidRDefault="003170A6">
      <w:pPr>
        <w:rPr>
          <w:rFonts w:cs="Arial"/>
        </w:rPr>
      </w:pPr>
    </w:p>
    <w:p w:rsidR="003170A6" w:rsidRPr="00EA7AEA" w:rsidRDefault="003170A6">
      <w:pPr>
        <w:rPr>
          <w:rFonts w:cs="Arial"/>
        </w:rPr>
      </w:pPr>
    </w:p>
    <w:p w:rsidR="007755ED" w:rsidRPr="00EA7AEA" w:rsidRDefault="007755ED" w:rsidP="00461E9A">
      <w:pPr>
        <w:jc w:val="center"/>
        <w:rPr>
          <w:rFonts w:cs="Arial"/>
          <w:b/>
          <w:color w:val="1F497D" w:themeColor="text2"/>
          <w:sz w:val="28"/>
          <w:szCs w:val="28"/>
        </w:rPr>
      </w:pPr>
    </w:p>
    <w:p w:rsidR="007755ED" w:rsidRPr="00EA7AEA" w:rsidRDefault="007755ED" w:rsidP="00461E9A">
      <w:pPr>
        <w:jc w:val="center"/>
        <w:rPr>
          <w:rFonts w:cs="Arial"/>
          <w:b/>
          <w:color w:val="1F497D" w:themeColor="text2"/>
          <w:sz w:val="28"/>
          <w:szCs w:val="28"/>
        </w:rPr>
      </w:pPr>
    </w:p>
    <w:p w:rsidR="003170A6" w:rsidRPr="00EA7AEA" w:rsidRDefault="00600CC6" w:rsidP="00600CC6">
      <w:pPr>
        <w:jc w:val="right"/>
        <w:rPr>
          <w:rFonts w:cs="Arial"/>
          <w:b/>
          <w:sz w:val="28"/>
          <w:szCs w:val="28"/>
        </w:rPr>
      </w:pPr>
      <w:r w:rsidRPr="00EA7AEA">
        <w:rPr>
          <w:rFonts w:cs="Arial"/>
          <w:b/>
          <w:sz w:val="28"/>
          <w:szCs w:val="28"/>
        </w:rPr>
        <w:t>Appendix D</w:t>
      </w:r>
    </w:p>
    <w:p w:rsidR="003170A6" w:rsidRPr="00EA7AEA" w:rsidRDefault="003170A6" w:rsidP="00461E9A">
      <w:pPr>
        <w:jc w:val="center"/>
        <w:rPr>
          <w:rFonts w:cs="Arial"/>
          <w:b/>
          <w:sz w:val="28"/>
          <w:szCs w:val="28"/>
        </w:rPr>
      </w:pPr>
    </w:p>
    <w:p w:rsidR="00CC4264" w:rsidRPr="00EA7AEA" w:rsidRDefault="00461E9A" w:rsidP="00461E9A">
      <w:pPr>
        <w:jc w:val="center"/>
        <w:rPr>
          <w:rFonts w:cs="Arial"/>
          <w:b/>
          <w:sz w:val="28"/>
          <w:szCs w:val="28"/>
        </w:rPr>
      </w:pPr>
      <w:r w:rsidRPr="00EA7AEA">
        <w:rPr>
          <w:rFonts w:cs="Arial"/>
          <w:b/>
          <w:sz w:val="28"/>
          <w:szCs w:val="28"/>
        </w:rPr>
        <w:t>Procurement Strategy</w:t>
      </w:r>
      <w:r w:rsidR="00CC4264" w:rsidRPr="00EA7AEA">
        <w:rPr>
          <w:rFonts w:cs="Arial"/>
          <w:b/>
          <w:sz w:val="28"/>
          <w:szCs w:val="28"/>
        </w:rPr>
        <w:t xml:space="preserve"> for </w:t>
      </w:r>
      <w:bookmarkStart w:id="0" w:name="_GoBack"/>
      <w:bookmarkEnd w:id="0"/>
      <w:r w:rsidR="00CC4264" w:rsidRPr="00EA7AEA">
        <w:rPr>
          <w:rFonts w:cs="Arial"/>
          <w:b/>
          <w:sz w:val="28"/>
          <w:szCs w:val="28"/>
        </w:rPr>
        <w:t>the Purchase of Health</w:t>
      </w:r>
      <w:r w:rsidR="00E46443" w:rsidRPr="00EA7AEA">
        <w:rPr>
          <w:rFonts w:cs="Arial"/>
          <w:b/>
          <w:sz w:val="28"/>
          <w:szCs w:val="28"/>
        </w:rPr>
        <w:t xml:space="preserve"> C</w:t>
      </w:r>
      <w:r w:rsidR="00CC4264" w:rsidRPr="00EA7AEA">
        <w:rPr>
          <w:rFonts w:cs="Arial"/>
          <w:b/>
          <w:sz w:val="28"/>
          <w:szCs w:val="28"/>
        </w:rPr>
        <w:t>are Services</w:t>
      </w:r>
    </w:p>
    <w:p w:rsidR="00C361C3" w:rsidRPr="00EA7AEA" w:rsidRDefault="00C361C3" w:rsidP="00461E9A">
      <w:pPr>
        <w:jc w:val="center"/>
        <w:rPr>
          <w:rFonts w:cs="Arial"/>
          <w:b/>
          <w:sz w:val="28"/>
          <w:szCs w:val="28"/>
        </w:rPr>
      </w:pPr>
    </w:p>
    <w:p w:rsidR="00CC4264" w:rsidRPr="00EA7AEA" w:rsidRDefault="00C96493" w:rsidP="00461E9A">
      <w:pPr>
        <w:jc w:val="center"/>
        <w:rPr>
          <w:rFonts w:cs="Arial"/>
          <w:b/>
          <w:sz w:val="28"/>
          <w:szCs w:val="28"/>
        </w:rPr>
      </w:pPr>
      <w:r w:rsidRPr="00EA7AEA">
        <w:rPr>
          <w:rFonts w:cs="Arial"/>
          <w:b/>
          <w:sz w:val="28"/>
          <w:szCs w:val="28"/>
        </w:rPr>
        <w:t>I</w:t>
      </w:r>
      <w:r w:rsidR="00CC4264" w:rsidRPr="00EA7AEA">
        <w:rPr>
          <w:rFonts w:cs="Arial"/>
          <w:b/>
          <w:sz w:val="28"/>
          <w:szCs w:val="28"/>
        </w:rPr>
        <w:t>ncorporating</w:t>
      </w:r>
      <w:r w:rsidRPr="00EA7AEA">
        <w:rPr>
          <w:rFonts w:cs="Arial"/>
          <w:b/>
          <w:sz w:val="28"/>
          <w:szCs w:val="28"/>
        </w:rPr>
        <w:t>:</w:t>
      </w:r>
      <w:r w:rsidR="00CC4264" w:rsidRPr="00EA7AEA">
        <w:rPr>
          <w:rFonts w:cs="Arial"/>
          <w:b/>
          <w:sz w:val="28"/>
          <w:szCs w:val="28"/>
        </w:rPr>
        <w:t xml:space="preserve"> </w:t>
      </w:r>
    </w:p>
    <w:p w:rsidR="00C361C3" w:rsidRPr="00EA7AEA" w:rsidRDefault="00C361C3" w:rsidP="00461E9A">
      <w:pPr>
        <w:jc w:val="center"/>
        <w:rPr>
          <w:rFonts w:cs="Arial"/>
          <w:b/>
          <w:sz w:val="28"/>
          <w:szCs w:val="28"/>
        </w:rPr>
      </w:pPr>
    </w:p>
    <w:p w:rsidR="00461E9A" w:rsidRPr="00EA7AEA" w:rsidRDefault="00B67B57" w:rsidP="00461E9A">
      <w:pPr>
        <w:jc w:val="center"/>
        <w:rPr>
          <w:rFonts w:cs="Arial"/>
          <w:b/>
          <w:sz w:val="28"/>
          <w:szCs w:val="28"/>
        </w:rPr>
      </w:pPr>
      <w:r w:rsidRPr="00EA7AEA">
        <w:rPr>
          <w:rFonts w:cs="Arial"/>
          <w:b/>
          <w:sz w:val="28"/>
          <w:szCs w:val="28"/>
        </w:rPr>
        <w:t>Contestability Framework</w:t>
      </w:r>
      <w:r w:rsidR="009B14E3" w:rsidRPr="00EA7AEA">
        <w:rPr>
          <w:rFonts w:cs="Arial"/>
          <w:b/>
          <w:sz w:val="28"/>
          <w:szCs w:val="28"/>
        </w:rPr>
        <w:t xml:space="preserve">, </w:t>
      </w:r>
      <w:r w:rsidR="00CC4264" w:rsidRPr="00EA7AEA">
        <w:rPr>
          <w:rFonts w:cs="Arial"/>
          <w:b/>
          <w:sz w:val="28"/>
          <w:szCs w:val="28"/>
        </w:rPr>
        <w:t>Market Management</w:t>
      </w:r>
      <w:r w:rsidR="007548ED" w:rsidRPr="00EA7AEA">
        <w:rPr>
          <w:rFonts w:cs="Arial"/>
          <w:b/>
          <w:sz w:val="28"/>
          <w:szCs w:val="28"/>
        </w:rPr>
        <w:t xml:space="preserve"> </w:t>
      </w:r>
      <w:r w:rsidR="00C96493" w:rsidRPr="00EA7AEA">
        <w:rPr>
          <w:rFonts w:cs="Arial"/>
          <w:b/>
          <w:sz w:val="28"/>
          <w:szCs w:val="28"/>
        </w:rPr>
        <w:t xml:space="preserve">Policy </w:t>
      </w:r>
      <w:r w:rsidR="009B14E3" w:rsidRPr="00EA7AEA">
        <w:rPr>
          <w:rFonts w:cs="Arial"/>
          <w:b/>
          <w:sz w:val="28"/>
          <w:szCs w:val="28"/>
        </w:rPr>
        <w:t xml:space="preserve">and Dispute Resolution </w:t>
      </w:r>
      <w:r w:rsidR="007548ED" w:rsidRPr="00EA7AEA">
        <w:rPr>
          <w:rFonts w:cs="Arial"/>
          <w:b/>
          <w:sz w:val="28"/>
          <w:szCs w:val="28"/>
        </w:rPr>
        <w:t>Polic</w:t>
      </w:r>
      <w:r w:rsidR="00C96493" w:rsidRPr="00EA7AEA">
        <w:rPr>
          <w:rFonts w:cs="Arial"/>
          <w:b/>
          <w:sz w:val="28"/>
          <w:szCs w:val="28"/>
        </w:rPr>
        <w:t>y</w:t>
      </w:r>
    </w:p>
    <w:p w:rsidR="00461E9A" w:rsidRPr="00EA7AEA" w:rsidRDefault="00461E9A" w:rsidP="00461E9A">
      <w:pPr>
        <w:jc w:val="center"/>
        <w:rPr>
          <w:rFonts w:cs="Arial"/>
          <w:b/>
          <w:sz w:val="28"/>
          <w:szCs w:val="28"/>
        </w:rPr>
      </w:pPr>
    </w:p>
    <w:p w:rsidR="00461E9A" w:rsidRPr="00EA7AEA" w:rsidRDefault="007755ED" w:rsidP="00461E9A">
      <w:pPr>
        <w:jc w:val="center"/>
        <w:rPr>
          <w:rFonts w:cs="Arial"/>
          <w:b/>
          <w:sz w:val="28"/>
          <w:szCs w:val="28"/>
        </w:rPr>
      </w:pPr>
      <w:r w:rsidRPr="00EA7AEA">
        <w:rPr>
          <w:rFonts w:cs="Arial"/>
          <w:b/>
          <w:sz w:val="28"/>
          <w:szCs w:val="28"/>
        </w:rPr>
        <w:t xml:space="preserve">April </w:t>
      </w:r>
      <w:r w:rsidR="00B67B57" w:rsidRPr="00EA7AEA">
        <w:rPr>
          <w:rFonts w:cs="Arial"/>
          <w:b/>
          <w:sz w:val="28"/>
          <w:szCs w:val="28"/>
        </w:rPr>
        <w:t>2013</w:t>
      </w:r>
      <w:r w:rsidR="00461E9A" w:rsidRPr="00EA7AEA">
        <w:rPr>
          <w:rFonts w:cs="Arial"/>
          <w:b/>
          <w:sz w:val="28"/>
          <w:szCs w:val="28"/>
        </w:rPr>
        <w:t xml:space="preserve"> to </w:t>
      </w:r>
      <w:r w:rsidR="00091E45" w:rsidRPr="00EA7AEA">
        <w:rPr>
          <w:rFonts w:cs="Arial"/>
          <w:b/>
          <w:sz w:val="28"/>
          <w:szCs w:val="28"/>
        </w:rPr>
        <w:t xml:space="preserve">March </w:t>
      </w:r>
      <w:r w:rsidR="00B67B57" w:rsidRPr="00EA7AEA">
        <w:rPr>
          <w:rFonts w:cs="Arial"/>
          <w:b/>
          <w:sz w:val="28"/>
          <w:szCs w:val="28"/>
        </w:rPr>
        <w:t>2015</w:t>
      </w:r>
    </w:p>
    <w:p w:rsidR="00461E9A" w:rsidRPr="00EA7AEA" w:rsidRDefault="00461E9A" w:rsidP="00461E9A">
      <w:pPr>
        <w:jc w:val="center"/>
        <w:rPr>
          <w:rFonts w:cs="Arial"/>
          <w:b/>
          <w:sz w:val="28"/>
          <w:szCs w:val="28"/>
        </w:rPr>
      </w:pPr>
    </w:p>
    <w:p w:rsidR="00461E9A" w:rsidRPr="00EA7AEA" w:rsidRDefault="00461E9A" w:rsidP="00461E9A">
      <w:pPr>
        <w:jc w:val="center"/>
        <w:rPr>
          <w:rFonts w:cs="Arial"/>
          <w:b/>
          <w:sz w:val="28"/>
          <w:szCs w:val="28"/>
        </w:rPr>
      </w:pPr>
    </w:p>
    <w:p w:rsidR="00461E9A" w:rsidRPr="00EA7AEA" w:rsidRDefault="00461E9A" w:rsidP="00461E9A">
      <w:pPr>
        <w:jc w:val="center"/>
        <w:rPr>
          <w:rFonts w:cs="Arial"/>
          <w:b/>
          <w:sz w:val="28"/>
          <w:szCs w:val="28"/>
        </w:rPr>
      </w:pPr>
    </w:p>
    <w:p w:rsidR="00461E9A" w:rsidRPr="00EA7AEA" w:rsidRDefault="00461E9A" w:rsidP="00461E9A">
      <w:pPr>
        <w:jc w:val="center"/>
        <w:rPr>
          <w:rFonts w:cs="Arial"/>
          <w:b/>
          <w:sz w:val="28"/>
          <w:szCs w:val="28"/>
        </w:rPr>
      </w:pPr>
    </w:p>
    <w:p w:rsidR="00461E9A" w:rsidRPr="00EA7AEA" w:rsidRDefault="00461E9A" w:rsidP="00461E9A">
      <w:pPr>
        <w:jc w:val="center"/>
        <w:rPr>
          <w:rFonts w:cs="Arial"/>
          <w:b/>
          <w:sz w:val="28"/>
          <w:szCs w:val="28"/>
        </w:rPr>
      </w:pPr>
    </w:p>
    <w:p w:rsidR="00461E9A" w:rsidRPr="00EA7AEA" w:rsidRDefault="00461E9A" w:rsidP="00461E9A">
      <w:pPr>
        <w:jc w:val="center"/>
        <w:rPr>
          <w:rFonts w:cs="Arial"/>
          <w:b/>
          <w:sz w:val="28"/>
          <w:szCs w:val="28"/>
        </w:rPr>
      </w:pPr>
    </w:p>
    <w:p w:rsidR="00461E9A" w:rsidRPr="00EA7AEA" w:rsidRDefault="00461E9A" w:rsidP="00461E9A">
      <w:pPr>
        <w:jc w:val="center"/>
        <w:rPr>
          <w:rFonts w:cs="Arial"/>
          <w:b/>
          <w:sz w:val="28"/>
          <w:szCs w:val="28"/>
        </w:rPr>
      </w:pPr>
    </w:p>
    <w:p w:rsidR="00461E9A" w:rsidRPr="00EA7AEA" w:rsidRDefault="00461E9A" w:rsidP="00461E9A">
      <w:pPr>
        <w:jc w:val="center"/>
        <w:rPr>
          <w:rFonts w:cs="Arial"/>
          <w:b/>
          <w:sz w:val="28"/>
          <w:szCs w:val="28"/>
        </w:rPr>
      </w:pPr>
    </w:p>
    <w:p w:rsidR="00461E9A" w:rsidRPr="00EA7AEA" w:rsidRDefault="00461E9A" w:rsidP="00461E9A">
      <w:pPr>
        <w:jc w:val="center"/>
        <w:rPr>
          <w:rFonts w:cs="Arial"/>
          <w:b/>
          <w:sz w:val="28"/>
          <w:szCs w:val="28"/>
        </w:rPr>
      </w:pPr>
    </w:p>
    <w:p w:rsidR="00461E9A" w:rsidRPr="00EA7AEA" w:rsidRDefault="00461E9A" w:rsidP="00461E9A">
      <w:pPr>
        <w:jc w:val="center"/>
        <w:rPr>
          <w:rFonts w:cs="Arial"/>
          <w:b/>
          <w:sz w:val="28"/>
          <w:szCs w:val="28"/>
        </w:rPr>
      </w:pPr>
    </w:p>
    <w:p w:rsidR="00461E9A" w:rsidRPr="00EA7AEA" w:rsidRDefault="00461E9A" w:rsidP="00461E9A">
      <w:pPr>
        <w:jc w:val="center"/>
        <w:rPr>
          <w:rFonts w:cs="Arial"/>
          <w:b/>
          <w:sz w:val="28"/>
          <w:szCs w:val="28"/>
        </w:rPr>
      </w:pPr>
    </w:p>
    <w:p w:rsidR="00461E9A" w:rsidRPr="00EA7AEA" w:rsidRDefault="00461E9A" w:rsidP="00461E9A">
      <w:pPr>
        <w:jc w:val="center"/>
        <w:rPr>
          <w:rFonts w:cs="Arial"/>
          <w:b/>
          <w:sz w:val="28"/>
          <w:szCs w:val="28"/>
        </w:rPr>
      </w:pPr>
    </w:p>
    <w:p w:rsidR="00461E9A" w:rsidRPr="00EA7AEA" w:rsidRDefault="00461E9A" w:rsidP="00461E9A">
      <w:pPr>
        <w:jc w:val="center"/>
        <w:rPr>
          <w:rFonts w:cs="Arial"/>
          <w:b/>
          <w:sz w:val="28"/>
          <w:szCs w:val="28"/>
        </w:rPr>
      </w:pPr>
    </w:p>
    <w:p w:rsidR="002F3921" w:rsidRPr="00EA7AEA" w:rsidRDefault="002F3921" w:rsidP="00461E9A">
      <w:pPr>
        <w:jc w:val="center"/>
        <w:rPr>
          <w:rFonts w:cs="Arial"/>
          <w:b/>
          <w:sz w:val="28"/>
          <w:szCs w:val="28"/>
        </w:rPr>
      </w:pPr>
    </w:p>
    <w:p w:rsidR="002F3921" w:rsidRPr="00EA7AEA" w:rsidRDefault="002F3921" w:rsidP="00461E9A">
      <w:pPr>
        <w:jc w:val="center"/>
        <w:rPr>
          <w:rFonts w:cs="Arial"/>
          <w:b/>
          <w:sz w:val="28"/>
          <w:szCs w:val="28"/>
        </w:rPr>
      </w:pPr>
    </w:p>
    <w:p w:rsidR="002F3921" w:rsidRPr="00EA7AEA" w:rsidRDefault="002F3921" w:rsidP="002F3921">
      <w:pPr>
        <w:rPr>
          <w:rFonts w:cs="Arial"/>
          <w:b/>
          <w:sz w:val="28"/>
          <w:szCs w:val="28"/>
          <w:u w:val="single"/>
        </w:rPr>
      </w:pPr>
      <w:r w:rsidRPr="00EA7AEA">
        <w:rPr>
          <w:rFonts w:cs="Arial"/>
          <w:b/>
          <w:sz w:val="28"/>
          <w:szCs w:val="28"/>
          <w:u w:val="single"/>
        </w:rPr>
        <w:t>Document Control:</w:t>
      </w:r>
    </w:p>
    <w:p w:rsidR="002F3921" w:rsidRPr="00EA7AEA" w:rsidRDefault="002F3921" w:rsidP="002F3921">
      <w:pPr>
        <w:rPr>
          <w:rFonts w:cs="Arial"/>
        </w:rPr>
      </w:pPr>
    </w:p>
    <w:tbl>
      <w:tblPr>
        <w:tblStyle w:val="TableGrid"/>
        <w:tblW w:w="0" w:type="auto"/>
        <w:tblLook w:val="04A0" w:firstRow="1" w:lastRow="0" w:firstColumn="1" w:lastColumn="0" w:noHBand="0" w:noVBand="1"/>
      </w:tblPr>
      <w:tblGrid>
        <w:gridCol w:w="3510"/>
        <w:gridCol w:w="5732"/>
      </w:tblGrid>
      <w:tr w:rsidR="00BE69CE" w:rsidRPr="00EA7AEA" w:rsidTr="0035317E">
        <w:tc>
          <w:tcPr>
            <w:tcW w:w="3510" w:type="dxa"/>
          </w:tcPr>
          <w:p w:rsidR="002F3921" w:rsidRPr="00EA7AEA" w:rsidRDefault="002F3921" w:rsidP="0035317E">
            <w:pPr>
              <w:spacing w:before="60" w:after="60"/>
              <w:rPr>
                <w:rFonts w:cs="Arial"/>
                <w:b/>
                <w:sz w:val="20"/>
                <w:szCs w:val="20"/>
              </w:rPr>
            </w:pPr>
            <w:r w:rsidRPr="00EA7AEA">
              <w:rPr>
                <w:rFonts w:cs="Arial"/>
                <w:b/>
                <w:sz w:val="20"/>
                <w:szCs w:val="20"/>
              </w:rPr>
              <w:t>Date of Issue:</w:t>
            </w:r>
          </w:p>
        </w:tc>
        <w:tc>
          <w:tcPr>
            <w:tcW w:w="5732" w:type="dxa"/>
          </w:tcPr>
          <w:p w:rsidR="002F3921" w:rsidRPr="00EA7AEA" w:rsidRDefault="002F3921" w:rsidP="0035317E">
            <w:pPr>
              <w:spacing w:before="60" w:after="60"/>
              <w:rPr>
                <w:rFonts w:cs="Arial"/>
                <w:sz w:val="20"/>
                <w:szCs w:val="20"/>
              </w:rPr>
            </w:pPr>
            <w:r w:rsidRPr="00EA7AEA">
              <w:rPr>
                <w:rFonts w:cs="Arial"/>
                <w:sz w:val="20"/>
                <w:szCs w:val="20"/>
              </w:rPr>
              <w:t>22 March 2013</w:t>
            </w:r>
          </w:p>
        </w:tc>
      </w:tr>
      <w:tr w:rsidR="00BE69CE" w:rsidRPr="00EA7AEA" w:rsidTr="0035317E">
        <w:tc>
          <w:tcPr>
            <w:tcW w:w="3510" w:type="dxa"/>
          </w:tcPr>
          <w:p w:rsidR="002F3921" w:rsidRPr="00EA7AEA" w:rsidRDefault="002F3921" w:rsidP="0035317E">
            <w:pPr>
              <w:spacing w:before="60" w:after="60"/>
              <w:rPr>
                <w:rFonts w:cs="Arial"/>
                <w:b/>
                <w:sz w:val="20"/>
                <w:szCs w:val="20"/>
              </w:rPr>
            </w:pPr>
            <w:r w:rsidRPr="00EA7AEA">
              <w:rPr>
                <w:rFonts w:cs="Arial"/>
                <w:b/>
                <w:sz w:val="20"/>
                <w:szCs w:val="20"/>
              </w:rPr>
              <w:t>Version:</w:t>
            </w:r>
          </w:p>
        </w:tc>
        <w:tc>
          <w:tcPr>
            <w:tcW w:w="5732" w:type="dxa"/>
          </w:tcPr>
          <w:p w:rsidR="002F3921" w:rsidRPr="00EA7AEA" w:rsidRDefault="002F3921" w:rsidP="0035317E">
            <w:pPr>
              <w:spacing w:before="60" w:after="60"/>
              <w:rPr>
                <w:rFonts w:cs="Arial"/>
                <w:sz w:val="20"/>
                <w:szCs w:val="20"/>
              </w:rPr>
            </w:pPr>
            <w:r w:rsidRPr="00EA7AEA">
              <w:rPr>
                <w:rFonts w:cs="Arial"/>
                <w:sz w:val="20"/>
                <w:szCs w:val="20"/>
              </w:rPr>
              <w:t>1</w:t>
            </w:r>
          </w:p>
        </w:tc>
      </w:tr>
      <w:tr w:rsidR="00BE69CE" w:rsidRPr="00EA7AEA" w:rsidTr="0035317E">
        <w:tc>
          <w:tcPr>
            <w:tcW w:w="3510" w:type="dxa"/>
          </w:tcPr>
          <w:p w:rsidR="002F3921" w:rsidRPr="00EA7AEA" w:rsidRDefault="002F3921" w:rsidP="0035317E">
            <w:pPr>
              <w:spacing w:before="60" w:after="60"/>
              <w:rPr>
                <w:rFonts w:cs="Arial"/>
                <w:b/>
                <w:sz w:val="20"/>
                <w:szCs w:val="20"/>
              </w:rPr>
            </w:pPr>
            <w:r w:rsidRPr="00EA7AEA">
              <w:rPr>
                <w:rFonts w:cs="Arial"/>
                <w:b/>
                <w:sz w:val="20"/>
                <w:szCs w:val="20"/>
              </w:rPr>
              <w:t>Author:</w:t>
            </w:r>
          </w:p>
        </w:tc>
        <w:tc>
          <w:tcPr>
            <w:tcW w:w="5732" w:type="dxa"/>
          </w:tcPr>
          <w:p w:rsidR="002F3921" w:rsidRPr="00EA7AEA" w:rsidRDefault="002F3921" w:rsidP="0035317E">
            <w:pPr>
              <w:spacing w:before="60" w:after="60"/>
              <w:rPr>
                <w:rFonts w:cs="Arial"/>
                <w:sz w:val="20"/>
                <w:szCs w:val="20"/>
              </w:rPr>
            </w:pPr>
            <w:r w:rsidRPr="00EA7AEA">
              <w:rPr>
                <w:rFonts w:cs="Arial"/>
                <w:sz w:val="20"/>
                <w:szCs w:val="20"/>
              </w:rPr>
              <w:t>David Porter, Head of Procurement</w:t>
            </w:r>
          </w:p>
        </w:tc>
      </w:tr>
      <w:tr w:rsidR="00BE69CE" w:rsidRPr="00EA7AEA" w:rsidTr="0035317E">
        <w:tc>
          <w:tcPr>
            <w:tcW w:w="3510" w:type="dxa"/>
          </w:tcPr>
          <w:p w:rsidR="002F3921" w:rsidRPr="00EA7AEA" w:rsidRDefault="002F3921" w:rsidP="0035317E">
            <w:pPr>
              <w:spacing w:before="60" w:after="60"/>
              <w:rPr>
                <w:rFonts w:cs="Arial"/>
                <w:b/>
                <w:sz w:val="20"/>
                <w:szCs w:val="20"/>
              </w:rPr>
            </w:pPr>
            <w:r w:rsidRPr="00EA7AEA">
              <w:rPr>
                <w:rFonts w:cs="Arial"/>
                <w:b/>
                <w:sz w:val="20"/>
                <w:szCs w:val="20"/>
              </w:rPr>
              <w:t>Next Review Date:</w:t>
            </w:r>
          </w:p>
        </w:tc>
        <w:tc>
          <w:tcPr>
            <w:tcW w:w="5732" w:type="dxa"/>
          </w:tcPr>
          <w:p w:rsidR="002F3921" w:rsidRPr="00EA7AEA" w:rsidRDefault="002F3921" w:rsidP="0035317E">
            <w:pPr>
              <w:spacing w:before="60" w:after="60"/>
              <w:rPr>
                <w:rFonts w:cs="Arial"/>
                <w:sz w:val="20"/>
                <w:szCs w:val="20"/>
              </w:rPr>
            </w:pPr>
            <w:r w:rsidRPr="00EA7AEA">
              <w:rPr>
                <w:rFonts w:cs="Arial"/>
                <w:sz w:val="20"/>
                <w:szCs w:val="20"/>
              </w:rPr>
              <w:t>September 2013</w:t>
            </w:r>
          </w:p>
        </w:tc>
      </w:tr>
      <w:tr w:rsidR="002F3921" w:rsidRPr="00EA7AEA" w:rsidTr="0035317E">
        <w:tc>
          <w:tcPr>
            <w:tcW w:w="3510" w:type="dxa"/>
          </w:tcPr>
          <w:p w:rsidR="002F3921" w:rsidRPr="00EA7AEA" w:rsidRDefault="002F3921" w:rsidP="0035317E">
            <w:pPr>
              <w:spacing w:before="60" w:after="60"/>
              <w:rPr>
                <w:rFonts w:cs="Arial"/>
                <w:b/>
                <w:sz w:val="20"/>
                <w:szCs w:val="20"/>
              </w:rPr>
            </w:pPr>
            <w:r w:rsidRPr="00EA7AEA">
              <w:rPr>
                <w:rFonts w:cs="Arial"/>
                <w:b/>
                <w:sz w:val="20"/>
                <w:szCs w:val="20"/>
              </w:rPr>
              <w:t>Approved by:</w:t>
            </w:r>
          </w:p>
        </w:tc>
        <w:tc>
          <w:tcPr>
            <w:tcW w:w="5732" w:type="dxa"/>
          </w:tcPr>
          <w:p w:rsidR="002F3921" w:rsidRPr="00EA7AEA" w:rsidRDefault="002F3921" w:rsidP="0035317E">
            <w:pPr>
              <w:spacing w:before="60" w:after="60"/>
              <w:rPr>
                <w:rFonts w:cs="Arial"/>
                <w:sz w:val="20"/>
                <w:szCs w:val="20"/>
              </w:rPr>
            </w:pPr>
            <w:r w:rsidRPr="00EA7AEA">
              <w:rPr>
                <w:rFonts w:cs="Arial"/>
                <w:sz w:val="20"/>
                <w:szCs w:val="20"/>
              </w:rPr>
              <w:t>NHS Gloucestershire Clinical Commissioning Group</w:t>
            </w:r>
          </w:p>
        </w:tc>
      </w:tr>
    </w:tbl>
    <w:p w:rsidR="002F3921" w:rsidRPr="00EA7AEA" w:rsidRDefault="002F3921" w:rsidP="002F3921">
      <w:pPr>
        <w:rPr>
          <w:rFonts w:cs="Arial"/>
        </w:rPr>
      </w:pPr>
    </w:p>
    <w:p w:rsidR="003170A6" w:rsidRPr="00EA7AEA" w:rsidRDefault="003170A6" w:rsidP="002D2957">
      <w:pPr>
        <w:jc w:val="center"/>
        <w:rPr>
          <w:rFonts w:cs="Arial"/>
          <w:b/>
          <w:sz w:val="28"/>
          <w:szCs w:val="28"/>
          <w:u w:val="single"/>
        </w:rPr>
      </w:pPr>
      <w:r w:rsidRPr="00EA7AEA">
        <w:rPr>
          <w:rFonts w:cs="Arial"/>
          <w:b/>
          <w:noProof/>
          <w:sz w:val="28"/>
          <w:szCs w:val="28"/>
          <w:u w:val="single"/>
          <w:lang w:eastAsia="en-GB"/>
        </w:rPr>
        <w:drawing>
          <wp:anchor distT="0" distB="0" distL="114300" distR="114300" simplePos="0" relativeHeight="251659264" behindDoc="0" locked="0" layoutInCell="1" allowOverlap="1" wp14:anchorId="20859219" wp14:editId="3F4294FC">
            <wp:simplePos x="0" y="0"/>
            <wp:positionH relativeFrom="column">
              <wp:posOffset>-66040</wp:posOffset>
            </wp:positionH>
            <wp:positionV relativeFrom="paragraph">
              <wp:posOffset>150495</wp:posOffset>
            </wp:positionV>
            <wp:extent cx="1630045" cy="391160"/>
            <wp:effectExtent l="0" t="0" r="8255" b="8890"/>
            <wp:wrapSquare wrapText="bothSides"/>
            <wp:docPr id="5" name="Picture 5" descr="Joined up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ed up c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04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0A6" w:rsidRPr="00EA7AEA" w:rsidRDefault="003170A6" w:rsidP="003170A6">
      <w:pPr>
        <w:rPr>
          <w:rFonts w:cs="Arial"/>
          <w:b/>
          <w:sz w:val="28"/>
          <w:szCs w:val="28"/>
          <w:u w:val="single"/>
        </w:rPr>
      </w:pPr>
    </w:p>
    <w:p w:rsidR="003170A6" w:rsidRPr="00EA7AEA" w:rsidRDefault="003170A6" w:rsidP="002D2957">
      <w:pPr>
        <w:jc w:val="center"/>
        <w:rPr>
          <w:rFonts w:cs="Arial"/>
          <w:b/>
          <w:sz w:val="28"/>
          <w:szCs w:val="28"/>
          <w:u w:val="single"/>
        </w:rPr>
      </w:pPr>
    </w:p>
    <w:p w:rsidR="003170A6" w:rsidRPr="00EA7AEA" w:rsidRDefault="003170A6" w:rsidP="002D2957">
      <w:pPr>
        <w:jc w:val="center"/>
        <w:rPr>
          <w:rFonts w:cs="Arial"/>
          <w:b/>
          <w:sz w:val="28"/>
          <w:szCs w:val="28"/>
          <w:u w:val="single"/>
        </w:rPr>
      </w:pPr>
    </w:p>
    <w:p w:rsidR="00461E9A" w:rsidRPr="00EA7AEA" w:rsidRDefault="00461E9A" w:rsidP="002D2957">
      <w:pPr>
        <w:jc w:val="center"/>
        <w:rPr>
          <w:rFonts w:cs="Arial"/>
          <w:b/>
          <w:sz w:val="28"/>
          <w:szCs w:val="28"/>
          <w:u w:val="single"/>
        </w:rPr>
      </w:pPr>
      <w:r w:rsidRPr="00EA7AEA">
        <w:rPr>
          <w:rFonts w:cs="Arial"/>
          <w:b/>
          <w:sz w:val="28"/>
          <w:szCs w:val="28"/>
          <w:u w:val="single"/>
        </w:rPr>
        <w:lastRenderedPageBreak/>
        <w:t>Contents:</w:t>
      </w:r>
    </w:p>
    <w:p w:rsidR="00990BF6" w:rsidRPr="00EA7AEA" w:rsidRDefault="00990BF6" w:rsidP="00461E9A">
      <w:pPr>
        <w:rPr>
          <w:rFonts w:cs="Arial"/>
          <w:u w:val="single"/>
        </w:rPr>
      </w:pPr>
    </w:p>
    <w:p w:rsidR="003E3670" w:rsidRPr="00EA7AEA" w:rsidRDefault="003E3670" w:rsidP="00461E9A">
      <w:pPr>
        <w:rPr>
          <w:rFonts w:cs="Arial"/>
          <w:u w:val="single"/>
        </w:rPr>
      </w:pPr>
    </w:p>
    <w:p w:rsidR="0042051F" w:rsidRPr="00EA7AEA" w:rsidRDefault="00A1475F" w:rsidP="00461E9A">
      <w:pPr>
        <w:rPr>
          <w:rFonts w:cs="Arial"/>
          <w:b/>
          <w:sz w:val="28"/>
          <w:szCs w:val="28"/>
        </w:rPr>
      </w:pPr>
      <w:r w:rsidRPr="00EA7AEA">
        <w:rPr>
          <w:rFonts w:cs="Arial"/>
          <w:b/>
          <w:sz w:val="28"/>
          <w:szCs w:val="28"/>
        </w:rPr>
        <w:t xml:space="preserve">Executive Summary: </w:t>
      </w:r>
    </w:p>
    <w:p w:rsidR="00107668" w:rsidRPr="00EA7AEA" w:rsidRDefault="00107668" w:rsidP="00461E9A">
      <w:pPr>
        <w:rPr>
          <w:rFonts w:cs="Arial"/>
          <w:u w:val="single"/>
        </w:rPr>
      </w:pPr>
    </w:p>
    <w:p w:rsidR="00501153" w:rsidRPr="00EA7AEA" w:rsidRDefault="00501153" w:rsidP="00461E9A">
      <w:pPr>
        <w:rPr>
          <w:rFonts w:cs="Arial"/>
          <w:u w:val="single"/>
        </w:rPr>
      </w:pPr>
    </w:p>
    <w:p w:rsidR="00461E9A" w:rsidRPr="00EA7AEA" w:rsidRDefault="00B67B57" w:rsidP="00461E9A">
      <w:pPr>
        <w:rPr>
          <w:rFonts w:cs="Arial"/>
          <w:b/>
          <w:sz w:val="28"/>
          <w:szCs w:val="28"/>
        </w:rPr>
      </w:pPr>
      <w:r w:rsidRPr="00EA7AEA">
        <w:rPr>
          <w:rFonts w:cs="Arial"/>
          <w:b/>
          <w:sz w:val="28"/>
          <w:szCs w:val="28"/>
        </w:rPr>
        <w:t>Part A</w:t>
      </w:r>
      <w:r w:rsidRPr="00EA7AEA">
        <w:rPr>
          <w:rFonts w:cs="Arial"/>
          <w:b/>
          <w:sz w:val="28"/>
          <w:szCs w:val="28"/>
        </w:rPr>
        <w:tab/>
        <w:t>Procurement Strategy</w:t>
      </w:r>
      <w:r w:rsidR="002D2957" w:rsidRPr="00EA7AEA">
        <w:rPr>
          <w:rFonts w:cs="Arial"/>
          <w:b/>
          <w:sz w:val="28"/>
          <w:szCs w:val="28"/>
        </w:rPr>
        <w:t>:</w:t>
      </w:r>
    </w:p>
    <w:p w:rsidR="00B67B57" w:rsidRPr="00EA7AEA" w:rsidRDefault="00B67B57" w:rsidP="00461E9A">
      <w:pPr>
        <w:rPr>
          <w:rFonts w:cs="Arial"/>
        </w:rPr>
      </w:pPr>
    </w:p>
    <w:p w:rsidR="00990BF6" w:rsidRPr="00EA7AEA" w:rsidRDefault="00990BF6" w:rsidP="00264B71">
      <w:pPr>
        <w:pStyle w:val="ListParagraph"/>
        <w:numPr>
          <w:ilvl w:val="0"/>
          <w:numId w:val="54"/>
        </w:numPr>
        <w:ind w:hanging="720"/>
        <w:rPr>
          <w:rFonts w:cs="Arial"/>
        </w:rPr>
      </w:pPr>
      <w:r w:rsidRPr="00EA7AEA">
        <w:rPr>
          <w:rFonts w:cs="Arial"/>
        </w:rPr>
        <w:t>Purpose / Introduction</w:t>
      </w:r>
    </w:p>
    <w:p w:rsidR="00990BF6" w:rsidRPr="00EA7AEA" w:rsidRDefault="00990BF6" w:rsidP="00264B71">
      <w:pPr>
        <w:pStyle w:val="ListParagraph"/>
        <w:numPr>
          <w:ilvl w:val="0"/>
          <w:numId w:val="54"/>
        </w:numPr>
        <w:ind w:hanging="720"/>
        <w:rPr>
          <w:rFonts w:cs="Arial"/>
        </w:rPr>
      </w:pPr>
      <w:r w:rsidRPr="00EA7AEA">
        <w:rPr>
          <w:rFonts w:cs="Arial"/>
        </w:rPr>
        <w:t>Procurement Policy</w:t>
      </w:r>
    </w:p>
    <w:p w:rsidR="00990BF6" w:rsidRPr="00EA7AEA" w:rsidRDefault="00990BF6" w:rsidP="00264B71">
      <w:pPr>
        <w:pStyle w:val="ListParagraph"/>
        <w:numPr>
          <w:ilvl w:val="0"/>
          <w:numId w:val="54"/>
        </w:numPr>
        <w:ind w:hanging="720"/>
        <w:rPr>
          <w:rFonts w:cs="Arial"/>
        </w:rPr>
      </w:pPr>
      <w:r w:rsidRPr="00EA7AEA">
        <w:rPr>
          <w:rFonts w:cs="Arial"/>
        </w:rPr>
        <w:t>Overarching Principles of Procurement</w:t>
      </w:r>
    </w:p>
    <w:p w:rsidR="00990BF6" w:rsidRPr="00EA7AEA" w:rsidRDefault="00990BF6" w:rsidP="00264B71">
      <w:pPr>
        <w:pStyle w:val="ListParagraph"/>
        <w:numPr>
          <w:ilvl w:val="0"/>
          <w:numId w:val="54"/>
        </w:numPr>
        <w:ind w:hanging="720"/>
        <w:rPr>
          <w:rFonts w:cs="Arial"/>
        </w:rPr>
      </w:pPr>
      <w:r w:rsidRPr="00EA7AEA">
        <w:rPr>
          <w:rFonts w:cs="Arial"/>
        </w:rPr>
        <w:t xml:space="preserve">Commissioning Strategy / </w:t>
      </w:r>
      <w:r w:rsidR="00687B58" w:rsidRPr="00EA7AEA">
        <w:rPr>
          <w:rFonts w:cs="Arial"/>
        </w:rPr>
        <w:t>G</w:t>
      </w:r>
      <w:r w:rsidRPr="00EA7AEA">
        <w:rPr>
          <w:rFonts w:cs="Arial"/>
        </w:rPr>
        <w:t>CCG Procurement Intentions</w:t>
      </w:r>
    </w:p>
    <w:p w:rsidR="00990BF6" w:rsidRPr="00EA7AEA" w:rsidRDefault="00990BF6" w:rsidP="00264B71">
      <w:pPr>
        <w:pStyle w:val="ListParagraph"/>
        <w:numPr>
          <w:ilvl w:val="0"/>
          <w:numId w:val="54"/>
        </w:numPr>
        <w:ind w:hanging="720"/>
        <w:rPr>
          <w:rFonts w:cs="Arial"/>
        </w:rPr>
      </w:pPr>
      <w:r w:rsidRPr="00EA7AEA">
        <w:rPr>
          <w:rFonts w:cs="Arial"/>
        </w:rPr>
        <w:t xml:space="preserve">When to Procure (See Part B Contestability </w:t>
      </w:r>
      <w:r w:rsidR="0077457D" w:rsidRPr="00EA7AEA">
        <w:rPr>
          <w:rFonts w:cs="Arial"/>
        </w:rPr>
        <w:t>Framework</w:t>
      </w:r>
      <w:r w:rsidRPr="00EA7AEA">
        <w:rPr>
          <w:rFonts w:cs="Arial"/>
        </w:rPr>
        <w:t>)</w:t>
      </w:r>
    </w:p>
    <w:p w:rsidR="00990BF6" w:rsidRPr="00EA7AEA" w:rsidRDefault="00990BF6" w:rsidP="00264B71">
      <w:pPr>
        <w:pStyle w:val="ListParagraph"/>
        <w:numPr>
          <w:ilvl w:val="0"/>
          <w:numId w:val="54"/>
        </w:numPr>
        <w:ind w:hanging="720"/>
        <w:rPr>
          <w:rFonts w:cs="Arial"/>
        </w:rPr>
      </w:pPr>
      <w:r w:rsidRPr="00EA7AEA">
        <w:rPr>
          <w:rFonts w:cs="Arial"/>
        </w:rPr>
        <w:t>Procurement Processes / Procedures (including A</w:t>
      </w:r>
      <w:r w:rsidR="00A94452" w:rsidRPr="00EA7AEA">
        <w:rPr>
          <w:rFonts w:cs="Arial"/>
        </w:rPr>
        <w:t xml:space="preserve">ny </w:t>
      </w:r>
      <w:r w:rsidRPr="00EA7AEA">
        <w:rPr>
          <w:rFonts w:cs="Arial"/>
        </w:rPr>
        <w:t>Q</w:t>
      </w:r>
      <w:r w:rsidR="00A94452" w:rsidRPr="00EA7AEA">
        <w:rPr>
          <w:rFonts w:cs="Arial"/>
        </w:rPr>
        <w:t xml:space="preserve">ualified </w:t>
      </w:r>
      <w:r w:rsidRPr="00EA7AEA">
        <w:rPr>
          <w:rFonts w:cs="Arial"/>
        </w:rPr>
        <w:t>P</w:t>
      </w:r>
      <w:r w:rsidR="00A94452" w:rsidRPr="00EA7AEA">
        <w:rPr>
          <w:rFonts w:cs="Arial"/>
        </w:rPr>
        <w:t>rovider</w:t>
      </w:r>
      <w:r w:rsidRPr="00EA7AEA">
        <w:rPr>
          <w:rFonts w:cs="Arial"/>
        </w:rPr>
        <w:t>)</w:t>
      </w:r>
    </w:p>
    <w:p w:rsidR="00990BF6" w:rsidRPr="00EA7AEA" w:rsidRDefault="00990BF6" w:rsidP="00264B71">
      <w:pPr>
        <w:pStyle w:val="ListParagraph"/>
        <w:numPr>
          <w:ilvl w:val="0"/>
          <w:numId w:val="54"/>
        </w:numPr>
        <w:ind w:hanging="720"/>
        <w:rPr>
          <w:rFonts w:cs="Arial"/>
        </w:rPr>
      </w:pPr>
      <w:r w:rsidRPr="00EA7AEA">
        <w:rPr>
          <w:rFonts w:cs="Arial"/>
        </w:rPr>
        <w:t>Procurement Thresholds</w:t>
      </w:r>
    </w:p>
    <w:p w:rsidR="00990BF6" w:rsidRPr="00EA7AEA" w:rsidRDefault="00990BF6" w:rsidP="00264B71">
      <w:pPr>
        <w:pStyle w:val="ListParagraph"/>
        <w:numPr>
          <w:ilvl w:val="0"/>
          <w:numId w:val="54"/>
        </w:numPr>
        <w:ind w:hanging="720"/>
        <w:rPr>
          <w:rFonts w:cs="Arial"/>
        </w:rPr>
      </w:pPr>
      <w:r w:rsidRPr="00EA7AEA">
        <w:rPr>
          <w:rFonts w:cs="Arial"/>
        </w:rPr>
        <w:t>Market Analysis</w:t>
      </w:r>
    </w:p>
    <w:p w:rsidR="00990BF6" w:rsidRPr="00EA7AEA" w:rsidRDefault="00990BF6" w:rsidP="00264B71">
      <w:pPr>
        <w:pStyle w:val="ListParagraph"/>
        <w:numPr>
          <w:ilvl w:val="0"/>
          <w:numId w:val="54"/>
        </w:numPr>
        <w:ind w:hanging="720"/>
        <w:rPr>
          <w:rFonts w:cs="Arial"/>
        </w:rPr>
      </w:pPr>
      <w:r w:rsidRPr="00EA7AEA">
        <w:rPr>
          <w:rFonts w:cs="Arial"/>
        </w:rPr>
        <w:t>Provider Engagement</w:t>
      </w:r>
    </w:p>
    <w:p w:rsidR="00990BF6" w:rsidRPr="00EA7AEA" w:rsidRDefault="00990BF6" w:rsidP="00264B71">
      <w:pPr>
        <w:pStyle w:val="ListParagraph"/>
        <w:numPr>
          <w:ilvl w:val="0"/>
          <w:numId w:val="54"/>
        </w:numPr>
        <w:ind w:hanging="720"/>
        <w:rPr>
          <w:rFonts w:cs="Arial"/>
        </w:rPr>
      </w:pPr>
      <w:r w:rsidRPr="00EA7AEA">
        <w:rPr>
          <w:rFonts w:cs="Arial"/>
        </w:rPr>
        <w:t>Procurement of Goods and Generic Services</w:t>
      </w:r>
    </w:p>
    <w:p w:rsidR="00990BF6" w:rsidRPr="00EA7AEA" w:rsidRDefault="00990BF6" w:rsidP="00264B71">
      <w:pPr>
        <w:pStyle w:val="ListParagraph"/>
        <w:numPr>
          <w:ilvl w:val="0"/>
          <w:numId w:val="54"/>
        </w:numPr>
        <w:ind w:hanging="720"/>
        <w:rPr>
          <w:rFonts w:cs="Arial"/>
        </w:rPr>
      </w:pPr>
      <w:r w:rsidRPr="00EA7AEA">
        <w:rPr>
          <w:rFonts w:cs="Arial"/>
        </w:rPr>
        <w:t>e-Tendering</w:t>
      </w:r>
    </w:p>
    <w:p w:rsidR="00990BF6" w:rsidRPr="00EA7AEA" w:rsidRDefault="00990BF6" w:rsidP="00264B71">
      <w:pPr>
        <w:pStyle w:val="ListParagraph"/>
        <w:numPr>
          <w:ilvl w:val="0"/>
          <w:numId w:val="54"/>
        </w:numPr>
        <w:ind w:hanging="720"/>
        <w:rPr>
          <w:rFonts w:cs="Arial"/>
        </w:rPr>
      </w:pPr>
      <w:r w:rsidRPr="00EA7AEA">
        <w:rPr>
          <w:rFonts w:cs="Arial"/>
        </w:rPr>
        <w:t>Collaborative Procurement</w:t>
      </w:r>
    </w:p>
    <w:p w:rsidR="00990BF6" w:rsidRPr="00EA7AEA" w:rsidRDefault="00990BF6" w:rsidP="00264B71">
      <w:pPr>
        <w:pStyle w:val="ListParagraph"/>
        <w:numPr>
          <w:ilvl w:val="0"/>
          <w:numId w:val="54"/>
        </w:numPr>
        <w:ind w:hanging="720"/>
        <w:rPr>
          <w:rFonts w:cs="Arial"/>
        </w:rPr>
      </w:pPr>
      <w:r w:rsidRPr="00EA7AEA">
        <w:rPr>
          <w:rFonts w:cs="Arial"/>
        </w:rPr>
        <w:t>Contract Durations</w:t>
      </w:r>
    </w:p>
    <w:p w:rsidR="00990BF6" w:rsidRPr="00EA7AEA" w:rsidRDefault="00990BF6" w:rsidP="00264B71">
      <w:pPr>
        <w:pStyle w:val="ListParagraph"/>
        <w:numPr>
          <w:ilvl w:val="0"/>
          <w:numId w:val="54"/>
        </w:numPr>
        <w:ind w:hanging="720"/>
        <w:rPr>
          <w:rFonts w:cs="Arial"/>
        </w:rPr>
      </w:pPr>
      <w:r w:rsidRPr="00EA7AEA">
        <w:rPr>
          <w:rFonts w:cs="Arial"/>
        </w:rPr>
        <w:t>Contract Management</w:t>
      </w:r>
    </w:p>
    <w:p w:rsidR="00F307E3" w:rsidRPr="00EA7AEA" w:rsidRDefault="00F307E3" w:rsidP="00264B71">
      <w:pPr>
        <w:pStyle w:val="ListParagraph"/>
        <w:numPr>
          <w:ilvl w:val="0"/>
          <w:numId w:val="54"/>
        </w:numPr>
        <w:ind w:hanging="720"/>
        <w:rPr>
          <w:rFonts w:cs="Arial"/>
        </w:rPr>
      </w:pPr>
      <w:r w:rsidRPr="00EA7AEA">
        <w:rPr>
          <w:rFonts w:cs="Arial"/>
        </w:rPr>
        <w:t>Procurement Guide and Procedures</w:t>
      </w:r>
    </w:p>
    <w:p w:rsidR="00990BF6" w:rsidRPr="00EA7AEA" w:rsidRDefault="00990BF6" w:rsidP="00264B71">
      <w:pPr>
        <w:pStyle w:val="ListParagraph"/>
        <w:numPr>
          <w:ilvl w:val="0"/>
          <w:numId w:val="54"/>
        </w:numPr>
        <w:ind w:hanging="720"/>
        <w:rPr>
          <w:rFonts w:cs="Arial"/>
        </w:rPr>
      </w:pPr>
      <w:r w:rsidRPr="00EA7AEA">
        <w:rPr>
          <w:rFonts w:cs="Arial"/>
        </w:rPr>
        <w:t>Social Value Legislation</w:t>
      </w:r>
    </w:p>
    <w:p w:rsidR="00990BF6" w:rsidRPr="00EA7AEA" w:rsidRDefault="00990BF6" w:rsidP="00264B71">
      <w:pPr>
        <w:pStyle w:val="ListParagraph"/>
        <w:numPr>
          <w:ilvl w:val="0"/>
          <w:numId w:val="54"/>
        </w:numPr>
        <w:ind w:hanging="720"/>
        <w:rPr>
          <w:rFonts w:cs="Arial"/>
        </w:rPr>
      </w:pPr>
      <w:r w:rsidRPr="00EA7AEA">
        <w:rPr>
          <w:rFonts w:cs="Arial"/>
        </w:rPr>
        <w:t>Conflicts of Interest</w:t>
      </w:r>
    </w:p>
    <w:p w:rsidR="00990BF6" w:rsidRPr="00EA7AEA" w:rsidRDefault="00990BF6" w:rsidP="00264B71">
      <w:pPr>
        <w:pStyle w:val="ListParagraph"/>
        <w:numPr>
          <w:ilvl w:val="0"/>
          <w:numId w:val="54"/>
        </w:numPr>
        <w:ind w:hanging="720"/>
        <w:rPr>
          <w:rFonts w:cs="Arial"/>
        </w:rPr>
      </w:pPr>
      <w:r w:rsidRPr="00EA7AEA">
        <w:rPr>
          <w:rFonts w:cs="Arial"/>
        </w:rPr>
        <w:t>Equality Impact Assessment</w:t>
      </w:r>
    </w:p>
    <w:p w:rsidR="00BE69CE" w:rsidRPr="00EA7AEA" w:rsidRDefault="00BE69CE" w:rsidP="00BE69CE">
      <w:pPr>
        <w:pStyle w:val="ListParagraph"/>
        <w:numPr>
          <w:ilvl w:val="0"/>
          <w:numId w:val="54"/>
        </w:numPr>
        <w:ind w:hanging="720"/>
        <w:rPr>
          <w:rFonts w:cs="Arial"/>
        </w:rPr>
      </w:pPr>
      <w:r w:rsidRPr="00EA7AEA">
        <w:rPr>
          <w:rFonts w:cs="Arial"/>
        </w:rPr>
        <w:t xml:space="preserve">Existing Commissioning Procurements – Organisational Transition </w:t>
      </w:r>
    </w:p>
    <w:p w:rsidR="00BE69CE" w:rsidRPr="00EA7AEA" w:rsidRDefault="00BE69CE" w:rsidP="00BE69CE">
      <w:pPr>
        <w:pStyle w:val="ListParagraph"/>
        <w:rPr>
          <w:rFonts w:cs="Arial"/>
        </w:rPr>
      </w:pPr>
    </w:p>
    <w:p w:rsidR="000777BE" w:rsidRPr="00EA7AEA" w:rsidRDefault="000777BE" w:rsidP="000777BE">
      <w:pPr>
        <w:rPr>
          <w:rFonts w:cs="Arial"/>
        </w:rPr>
      </w:pPr>
    </w:p>
    <w:p w:rsidR="00107668" w:rsidRPr="00EA7AEA" w:rsidRDefault="00107668" w:rsidP="000777BE">
      <w:pPr>
        <w:rPr>
          <w:rFonts w:cs="Arial"/>
        </w:rPr>
      </w:pPr>
    </w:p>
    <w:p w:rsidR="00C069A4" w:rsidRPr="00EA7AEA" w:rsidRDefault="00C069A4" w:rsidP="00C069A4">
      <w:pPr>
        <w:rPr>
          <w:rFonts w:cs="Arial"/>
          <w:b/>
          <w:sz w:val="28"/>
          <w:szCs w:val="28"/>
        </w:rPr>
      </w:pPr>
      <w:r w:rsidRPr="00EA7AEA">
        <w:rPr>
          <w:rFonts w:cs="Arial"/>
          <w:b/>
          <w:sz w:val="28"/>
          <w:szCs w:val="28"/>
        </w:rPr>
        <w:t>Part B</w:t>
      </w:r>
      <w:r w:rsidRPr="00EA7AEA">
        <w:rPr>
          <w:rFonts w:cs="Arial"/>
          <w:b/>
          <w:sz w:val="28"/>
          <w:szCs w:val="28"/>
        </w:rPr>
        <w:tab/>
        <w:t>Contestability Framework:</w:t>
      </w:r>
    </w:p>
    <w:p w:rsidR="00C069A4" w:rsidRPr="00EA7AEA" w:rsidRDefault="00C069A4" w:rsidP="00C069A4">
      <w:pPr>
        <w:rPr>
          <w:rFonts w:cs="Arial"/>
        </w:rPr>
      </w:pPr>
    </w:p>
    <w:p w:rsidR="00C069A4" w:rsidRPr="00EA7AEA" w:rsidRDefault="00A94452" w:rsidP="00264B71">
      <w:pPr>
        <w:pStyle w:val="ListParagraph"/>
        <w:numPr>
          <w:ilvl w:val="0"/>
          <w:numId w:val="44"/>
        </w:numPr>
        <w:ind w:left="567" w:hanging="567"/>
        <w:rPr>
          <w:rFonts w:cs="Arial"/>
        </w:rPr>
      </w:pPr>
      <w:r w:rsidRPr="00EA7AEA">
        <w:rPr>
          <w:rFonts w:cs="Arial"/>
        </w:rPr>
        <w:t>Introduction</w:t>
      </w:r>
    </w:p>
    <w:p w:rsidR="00C069A4" w:rsidRPr="00EA7AEA" w:rsidRDefault="00A94452" w:rsidP="00264B71">
      <w:pPr>
        <w:pStyle w:val="ListParagraph"/>
        <w:numPr>
          <w:ilvl w:val="0"/>
          <w:numId w:val="44"/>
        </w:numPr>
        <w:ind w:left="567" w:hanging="567"/>
        <w:rPr>
          <w:rFonts w:cs="Arial"/>
        </w:rPr>
      </w:pPr>
      <w:r w:rsidRPr="00EA7AEA">
        <w:rPr>
          <w:rFonts w:cs="Arial"/>
        </w:rPr>
        <w:t>Obligations on Commissioners</w:t>
      </w:r>
    </w:p>
    <w:p w:rsidR="00C069A4" w:rsidRPr="00EA7AEA" w:rsidRDefault="00A94452" w:rsidP="00264B71">
      <w:pPr>
        <w:pStyle w:val="ListParagraph"/>
        <w:numPr>
          <w:ilvl w:val="0"/>
          <w:numId w:val="44"/>
        </w:numPr>
        <w:ind w:left="567" w:hanging="567"/>
        <w:rPr>
          <w:rFonts w:cs="Arial"/>
        </w:rPr>
      </w:pPr>
      <w:r w:rsidRPr="00EA7AEA">
        <w:rPr>
          <w:rFonts w:cs="Arial"/>
        </w:rPr>
        <w:t>Triggers for Contesting a Service</w:t>
      </w:r>
    </w:p>
    <w:p w:rsidR="00C069A4" w:rsidRPr="00EA7AEA" w:rsidRDefault="00A94452" w:rsidP="00264B71">
      <w:pPr>
        <w:pStyle w:val="ListParagraph"/>
        <w:numPr>
          <w:ilvl w:val="0"/>
          <w:numId w:val="44"/>
        </w:numPr>
        <w:ind w:left="567" w:hanging="567"/>
        <w:rPr>
          <w:rFonts w:cs="Arial"/>
        </w:rPr>
      </w:pPr>
      <w:r w:rsidRPr="00EA7AEA">
        <w:rPr>
          <w:rFonts w:cs="Arial"/>
        </w:rPr>
        <w:t>NHS Gloucestershire CCG Board Contestability Decision</w:t>
      </w:r>
    </w:p>
    <w:p w:rsidR="00C069A4" w:rsidRPr="00EA7AEA" w:rsidRDefault="00A94452" w:rsidP="00264B71">
      <w:pPr>
        <w:pStyle w:val="ListParagraph"/>
        <w:numPr>
          <w:ilvl w:val="0"/>
          <w:numId w:val="44"/>
        </w:numPr>
        <w:ind w:left="567" w:hanging="567"/>
        <w:rPr>
          <w:rFonts w:cs="Arial"/>
        </w:rPr>
      </w:pPr>
      <w:r w:rsidRPr="00EA7AEA">
        <w:rPr>
          <w:rFonts w:cs="Arial"/>
        </w:rPr>
        <w:t>Decision Not to Tender</w:t>
      </w:r>
    </w:p>
    <w:p w:rsidR="00C069A4" w:rsidRPr="00EA7AEA" w:rsidRDefault="00C069A4" w:rsidP="00461E9A">
      <w:pPr>
        <w:rPr>
          <w:rFonts w:cs="Arial"/>
        </w:rPr>
      </w:pPr>
    </w:p>
    <w:p w:rsidR="00107668" w:rsidRPr="00EA7AEA" w:rsidRDefault="00107668" w:rsidP="00461E9A">
      <w:pPr>
        <w:rPr>
          <w:rFonts w:cs="Arial"/>
        </w:rPr>
      </w:pPr>
    </w:p>
    <w:p w:rsidR="00C361C3" w:rsidRPr="00EA7AEA" w:rsidRDefault="00C361C3" w:rsidP="00461E9A">
      <w:pPr>
        <w:rPr>
          <w:rFonts w:cs="Arial"/>
          <w:b/>
          <w:sz w:val="28"/>
          <w:szCs w:val="28"/>
        </w:rPr>
      </w:pPr>
      <w:r w:rsidRPr="00EA7AEA">
        <w:rPr>
          <w:rFonts w:cs="Arial"/>
          <w:b/>
          <w:sz w:val="28"/>
          <w:szCs w:val="28"/>
        </w:rPr>
        <w:t xml:space="preserve">Part </w:t>
      </w:r>
      <w:r w:rsidR="00C069A4" w:rsidRPr="00EA7AEA">
        <w:rPr>
          <w:rFonts w:cs="Arial"/>
          <w:b/>
          <w:sz w:val="28"/>
          <w:szCs w:val="28"/>
        </w:rPr>
        <w:t>C</w:t>
      </w:r>
      <w:r w:rsidRPr="00EA7AEA">
        <w:rPr>
          <w:rFonts w:cs="Arial"/>
          <w:b/>
          <w:sz w:val="28"/>
          <w:szCs w:val="28"/>
        </w:rPr>
        <w:tab/>
        <w:t>Market Management Policy</w:t>
      </w:r>
    </w:p>
    <w:p w:rsidR="00461E9A" w:rsidRPr="00EA7AEA" w:rsidRDefault="00461E9A" w:rsidP="00461E9A">
      <w:pPr>
        <w:rPr>
          <w:rFonts w:cs="Arial"/>
          <w:u w:val="single"/>
        </w:rPr>
      </w:pPr>
    </w:p>
    <w:p w:rsidR="00C069A4" w:rsidRPr="00EA7AEA" w:rsidRDefault="00C069A4" w:rsidP="00264B71">
      <w:pPr>
        <w:numPr>
          <w:ilvl w:val="0"/>
          <w:numId w:val="16"/>
        </w:numPr>
        <w:tabs>
          <w:tab w:val="clear" w:pos="1080"/>
          <w:tab w:val="num" w:pos="567"/>
        </w:tabs>
        <w:ind w:hanging="1080"/>
        <w:rPr>
          <w:rFonts w:cs="Arial"/>
        </w:rPr>
      </w:pPr>
      <w:r w:rsidRPr="00EA7AEA">
        <w:rPr>
          <w:rFonts w:cs="Arial"/>
        </w:rPr>
        <w:t>Introduction</w:t>
      </w:r>
    </w:p>
    <w:p w:rsidR="00C069A4" w:rsidRPr="00EA7AEA" w:rsidRDefault="00C069A4" w:rsidP="00264B71">
      <w:pPr>
        <w:numPr>
          <w:ilvl w:val="0"/>
          <w:numId w:val="16"/>
        </w:numPr>
        <w:tabs>
          <w:tab w:val="clear" w:pos="1080"/>
          <w:tab w:val="num" w:pos="567"/>
        </w:tabs>
        <w:ind w:hanging="1080"/>
        <w:rPr>
          <w:rFonts w:cs="Arial"/>
        </w:rPr>
      </w:pPr>
      <w:r w:rsidRPr="00EA7AEA">
        <w:rPr>
          <w:rFonts w:cs="Arial"/>
        </w:rPr>
        <w:t>Current Provider Landscape</w:t>
      </w:r>
    </w:p>
    <w:p w:rsidR="00C069A4" w:rsidRPr="00EA7AEA" w:rsidRDefault="00C069A4" w:rsidP="00264B71">
      <w:pPr>
        <w:numPr>
          <w:ilvl w:val="0"/>
          <w:numId w:val="16"/>
        </w:numPr>
        <w:tabs>
          <w:tab w:val="clear" w:pos="1080"/>
          <w:tab w:val="num" w:pos="567"/>
        </w:tabs>
        <w:ind w:hanging="1080"/>
        <w:rPr>
          <w:rFonts w:cs="Arial"/>
        </w:rPr>
      </w:pPr>
      <w:r w:rsidRPr="00EA7AEA">
        <w:rPr>
          <w:rFonts w:cs="Arial"/>
        </w:rPr>
        <w:t>Market Management in the NHS</w:t>
      </w:r>
    </w:p>
    <w:p w:rsidR="00C069A4" w:rsidRPr="00EA7AEA" w:rsidRDefault="00C069A4" w:rsidP="00264B71">
      <w:pPr>
        <w:numPr>
          <w:ilvl w:val="0"/>
          <w:numId w:val="16"/>
        </w:numPr>
        <w:tabs>
          <w:tab w:val="clear" w:pos="1080"/>
          <w:tab w:val="num" w:pos="567"/>
        </w:tabs>
        <w:ind w:hanging="1080"/>
        <w:rPr>
          <w:rFonts w:cs="Arial"/>
        </w:rPr>
      </w:pPr>
      <w:r w:rsidRPr="00EA7AEA">
        <w:rPr>
          <w:rFonts w:cs="Arial"/>
        </w:rPr>
        <w:t>NHS Gloucestershire CCG’s Approach to Market Management</w:t>
      </w:r>
    </w:p>
    <w:p w:rsidR="00C069A4" w:rsidRPr="00EA7AEA" w:rsidRDefault="00C069A4" w:rsidP="00264B71">
      <w:pPr>
        <w:numPr>
          <w:ilvl w:val="0"/>
          <w:numId w:val="16"/>
        </w:numPr>
        <w:tabs>
          <w:tab w:val="clear" w:pos="1080"/>
          <w:tab w:val="num" w:pos="567"/>
        </w:tabs>
        <w:ind w:hanging="1080"/>
        <w:rPr>
          <w:rFonts w:cs="Arial"/>
        </w:rPr>
      </w:pPr>
      <w:r w:rsidRPr="00EA7AEA">
        <w:rPr>
          <w:rFonts w:cs="Arial"/>
        </w:rPr>
        <w:t>Developing Provider Competence and Capability</w:t>
      </w:r>
    </w:p>
    <w:p w:rsidR="00C069A4" w:rsidRPr="00EA7AEA" w:rsidRDefault="00C069A4" w:rsidP="00264B71">
      <w:pPr>
        <w:numPr>
          <w:ilvl w:val="0"/>
          <w:numId w:val="16"/>
        </w:numPr>
        <w:tabs>
          <w:tab w:val="clear" w:pos="1080"/>
          <w:tab w:val="num" w:pos="567"/>
        </w:tabs>
        <w:ind w:hanging="1080"/>
        <w:rPr>
          <w:rFonts w:cs="Arial"/>
        </w:rPr>
      </w:pPr>
      <w:r w:rsidRPr="00EA7AEA">
        <w:rPr>
          <w:rFonts w:cs="Arial"/>
        </w:rPr>
        <w:t>Market Management Support to the Commissioning Cycle</w:t>
      </w:r>
    </w:p>
    <w:p w:rsidR="00C069A4" w:rsidRPr="00EA7AEA" w:rsidRDefault="00C069A4" w:rsidP="00264B71">
      <w:pPr>
        <w:numPr>
          <w:ilvl w:val="0"/>
          <w:numId w:val="16"/>
        </w:numPr>
        <w:tabs>
          <w:tab w:val="clear" w:pos="1080"/>
          <w:tab w:val="num" w:pos="567"/>
        </w:tabs>
        <w:ind w:hanging="1080"/>
        <w:rPr>
          <w:rFonts w:cs="Arial"/>
        </w:rPr>
      </w:pPr>
      <w:r w:rsidRPr="00EA7AEA">
        <w:rPr>
          <w:rFonts w:cs="Arial"/>
        </w:rPr>
        <w:t>Contract and Performance Management Frameworks</w:t>
      </w:r>
    </w:p>
    <w:p w:rsidR="00C069A4" w:rsidRPr="00EA7AEA" w:rsidRDefault="00C069A4" w:rsidP="00264B71">
      <w:pPr>
        <w:numPr>
          <w:ilvl w:val="0"/>
          <w:numId w:val="16"/>
        </w:numPr>
        <w:tabs>
          <w:tab w:val="clear" w:pos="1080"/>
          <w:tab w:val="num" w:pos="567"/>
        </w:tabs>
        <w:ind w:hanging="1080"/>
        <w:rPr>
          <w:rFonts w:cs="Arial"/>
        </w:rPr>
      </w:pPr>
      <w:r w:rsidRPr="00EA7AEA">
        <w:rPr>
          <w:rFonts w:cs="Arial"/>
        </w:rPr>
        <w:t>NHS Gloucestershire CCG’s Progress in Market Management</w:t>
      </w:r>
    </w:p>
    <w:p w:rsidR="00C069A4" w:rsidRPr="00EA7AEA" w:rsidRDefault="00C069A4" w:rsidP="00264B71">
      <w:pPr>
        <w:numPr>
          <w:ilvl w:val="0"/>
          <w:numId w:val="16"/>
        </w:numPr>
        <w:tabs>
          <w:tab w:val="clear" w:pos="1080"/>
          <w:tab w:val="num" w:pos="567"/>
        </w:tabs>
        <w:ind w:hanging="1080"/>
        <w:rPr>
          <w:rFonts w:cs="Arial"/>
        </w:rPr>
      </w:pPr>
      <w:r w:rsidRPr="00EA7AEA">
        <w:rPr>
          <w:rFonts w:cs="Arial"/>
        </w:rPr>
        <w:t>Measurement of Success</w:t>
      </w:r>
    </w:p>
    <w:p w:rsidR="00C069A4" w:rsidRPr="00EA7AEA" w:rsidRDefault="00C069A4" w:rsidP="00264B71">
      <w:pPr>
        <w:numPr>
          <w:ilvl w:val="0"/>
          <w:numId w:val="16"/>
        </w:numPr>
        <w:tabs>
          <w:tab w:val="clear" w:pos="1080"/>
          <w:tab w:val="num" w:pos="567"/>
        </w:tabs>
        <w:ind w:hanging="1080"/>
        <w:rPr>
          <w:rFonts w:cs="Arial"/>
        </w:rPr>
      </w:pPr>
      <w:r w:rsidRPr="00EA7AEA">
        <w:rPr>
          <w:rFonts w:cs="Arial"/>
        </w:rPr>
        <w:t>Conclusion</w:t>
      </w:r>
    </w:p>
    <w:p w:rsidR="002F6B56" w:rsidRPr="00EA7AEA" w:rsidRDefault="002F6B56" w:rsidP="0029214B">
      <w:pPr>
        <w:pStyle w:val="ListParagraph"/>
        <w:rPr>
          <w:rFonts w:cs="Arial"/>
        </w:rPr>
      </w:pPr>
    </w:p>
    <w:p w:rsidR="003E3670" w:rsidRPr="00EA7AEA" w:rsidRDefault="003E3670" w:rsidP="0029214B">
      <w:pPr>
        <w:pStyle w:val="ListParagraph"/>
        <w:rPr>
          <w:rFonts w:cs="Arial"/>
        </w:rPr>
      </w:pPr>
    </w:p>
    <w:p w:rsidR="003E3670" w:rsidRPr="00EA7AEA" w:rsidRDefault="003E3670" w:rsidP="0029214B">
      <w:pPr>
        <w:pStyle w:val="ListParagraph"/>
        <w:rPr>
          <w:rFonts w:cs="Arial"/>
        </w:rPr>
      </w:pPr>
    </w:p>
    <w:p w:rsidR="0077457D" w:rsidRPr="00EA7AEA" w:rsidRDefault="0077457D" w:rsidP="0029214B">
      <w:pPr>
        <w:pStyle w:val="ListParagraph"/>
        <w:rPr>
          <w:rFonts w:cs="Arial"/>
        </w:rPr>
      </w:pPr>
    </w:p>
    <w:p w:rsidR="00461E9A" w:rsidRPr="00EA7AEA" w:rsidRDefault="009B14E3" w:rsidP="00461E9A">
      <w:pPr>
        <w:rPr>
          <w:rFonts w:cs="Arial"/>
          <w:b/>
          <w:sz w:val="28"/>
          <w:szCs w:val="28"/>
        </w:rPr>
      </w:pPr>
      <w:r w:rsidRPr="00EA7AEA">
        <w:rPr>
          <w:rFonts w:cs="Arial"/>
          <w:b/>
          <w:sz w:val="28"/>
          <w:szCs w:val="28"/>
        </w:rPr>
        <w:t>Part D</w:t>
      </w:r>
      <w:r w:rsidRPr="00EA7AEA">
        <w:rPr>
          <w:rFonts w:cs="Arial"/>
          <w:b/>
          <w:sz w:val="28"/>
          <w:szCs w:val="28"/>
        </w:rPr>
        <w:tab/>
        <w:t>Dispute Resolution Policy</w:t>
      </w:r>
    </w:p>
    <w:p w:rsidR="00461E9A" w:rsidRPr="00EA7AEA" w:rsidRDefault="00461E9A" w:rsidP="00461E9A">
      <w:pPr>
        <w:rPr>
          <w:rFonts w:cs="Arial"/>
          <w:u w:val="single"/>
        </w:rPr>
      </w:pPr>
    </w:p>
    <w:p w:rsidR="00461E9A" w:rsidRPr="00EA7AEA" w:rsidRDefault="000F5852" w:rsidP="00264B71">
      <w:pPr>
        <w:pStyle w:val="ListParagraph"/>
        <w:numPr>
          <w:ilvl w:val="0"/>
          <w:numId w:val="5"/>
        </w:numPr>
        <w:ind w:left="567" w:hanging="567"/>
        <w:rPr>
          <w:rFonts w:cs="Arial"/>
        </w:rPr>
      </w:pPr>
      <w:r w:rsidRPr="00EA7AEA">
        <w:rPr>
          <w:rFonts w:cs="Arial"/>
        </w:rPr>
        <w:t>Introduction</w:t>
      </w:r>
    </w:p>
    <w:p w:rsidR="009B14E3" w:rsidRPr="00EA7AEA" w:rsidRDefault="000F5852" w:rsidP="00264B71">
      <w:pPr>
        <w:pStyle w:val="ListParagraph"/>
        <w:numPr>
          <w:ilvl w:val="0"/>
          <w:numId w:val="5"/>
        </w:numPr>
        <w:ind w:left="567" w:hanging="567"/>
        <w:rPr>
          <w:rFonts w:cs="Arial"/>
        </w:rPr>
      </w:pPr>
      <w:r w:rsidRPr="00EA7AEA">
        <w:rPr>
          <w:rFonts w:cs="Arial"/>
        </w:rPr>
        <w:t>Objectives of the Dispute Resolution Policy</w:t>
      </w:r>
    </w:p>
    <w:p w:rsidR="009B14E3" w:rsidRPr="00EA7AEA" w:rsidRDefault="000F5852" w:rsidP="00264B71">
      <w:pPr>
        <w:pStyle w:val="ListParagraph"/>
        <w:numPr>
          <w:ilvl w:val="0"/>
          <w:numId w:val="5"/>
        </w:numPr>
        <w:ind w:left="567" w:hanging="567"/>
        <w:rPr>
          <w:rFonts w:cs="Arial"/>
        </w:rPr>
      </w:pPr>
      <w:r w:rsidRPr="00EA7AEA">
        <w:rPr>
          <w:rFonts w:cs="Arial"/>
        </w:rPr>
        <w:t>Acceptance Criteria</w:t>
      </w:r>
    </w:p>
    <w:p w:rsidR="000F5852" w:rsidRPr="00EA7AEA" w:rsidRDefault="000F5852" w:rsidP="00264B71">
      <w:pPr>
        <w:pStyle w:val="ListParagraph"/>
        <w:numPr>
          <w:ilvl w:val="0"/>
          <w:numId w:val="5"/>
        </w:numPr>
        <w:ind w:left="567" w:hanging="567"/>
        <w:rPr>
          <w:rFonts w:cs="Arial"/>
        </w:rPr>
      </w:pPr>
      <w:r w:rsidRPr="00EA7AEA">
        <w:rPr>
          <w:rFonts w:cs="Arial"/>
        </w:rPr>
        <w:t>NHS Gloucestershire CCG Process</w:t>
      </w:r>
    </w:p>
    <w:p w:rsidR="000F5852" w:rsidRPr="00EA7AEA" w:rsidRDefault="000F5852" w:rsidP="000F5852">
      <w:pPr>
        <w:rPr>
          <w:rFonts w:cs="Arial"/>
        </w:rPr>
      </w:pPr>
    </w:p>
    <w:p w:rsidR="000F5852" w:rsidRPr="00EA7AEA" w:rsidRDefault="000F5852" w:rsidP="000F5852">
      <w:pPr>
        <w:rPr>
          <w:rFonts w:cs="Arial"/>
        </w:rPr>
      </w:pPr>
    </w:p>
    <w:p w:rsidR="000F5852" w:rsidRPr="00EA7AEA" w:rsidRDefault="000F5852" w:rsidP="000F5852">
      <w:pPr>
        <w:rPr>
          <w:rFonts w:cs="Arial"/>
          <w:b/>
          <w:sz w:val="28"/>
          <w:szCs w:val="28"/>
        </w:rPr>
      </w:pPr>
      <w:r w:rsidRPr="00EA7AEA">
        <w:rPr>
          <w:rFonts w:cs="Arial"/>
          <w:b/>
          <w:sz w:val="28"/>
          <w:szCs w:val="28"/>
        </w:rPr>
        <w:t>Appendices</w:t>
      </w:r>
    </w:p>
    <w:p w:rsidR="009B14E3" w:rsidRPr="00EA7AEA" w:rsidRDefault="009B14E3" w:rsidP="009B14E3">
      <w:pPr>
        <w:pStyle w:val="ListParagraph"/>
        <w:rPr>
          <w:rFonts w:cs="Arial"/>
        </w:rPr>
      </w:pPr>
    </w:p>
    <w:p w:rsidR="007755ED" w:rsidRPr="00EA7AEA" w:rsidRDefault="000F5852" w:rsidP="00461E9A">
      <w:pPr>
        <w:rPr>
          <w:rFonts w:cs="Arial"/>
        </w:rPr>
      </w:pPr>
      <w:r w:rsidRPr="00EA7AEA">
        <w:rPr>
          <w:rFonts w:cs="Arial"/>
        </w:rPr>
        <w:t>Appendix 1</w:t>
      </w:r>
      <w:r w:rsidRPr="00EA7AEA">
        <w:rPr>
          <w:rFonts w:cs="Arial"/>
        </w:rPr>
        <w:tab/>
        <w:t>Decision Not to Tender Form</w:t>
      </w:r>
    </w:p>
    <w:p w:rsidR="000F5852" w:rsidRPr="00EA7AEA" w:rsidRDefault="000F5852" w:rsidP="00461E9A">
      <w:pPr>
        <w:rPr>
          <w:rFonts w:cs="Arial"/>
        </w:rPr>
      </w:pPr>
      <w:r w:rsidRPr="00EA7AEA">
        <w:rPr>
          <w:rFonts w:cs="Arial"/>
        </w:rPr>
        <w:t>Appendix 2</w:t>
      </w:r>
      <w:r w:rsidRPr="00EA7AEA">
        <w:rPr>
          <w:rFonts w:cs="Arial"/>
        </w:rPr>
        <w:tab/>
        <w:t>Dispute Resolution Form</w:t>
      </w:r>
    </w:p>
    <w:p w:rsidR="00107668" w:rsidRPr="00EA7AEA" w:rsidRDefault="00107668" w:rsidP="00461E9A">
      <w:pPr>
        <w:rPr>
          <w:rFonts w:cs="Arial"/>
          <w:b/>
          <w:sz w:val="28"/>
          <w:szCs w:val="28"/>
        </w:rPr>
      </w:pPr>
    </w:p>
    <w:p w:rsidR="00107668" w:rsidRPr="00EA7AEA" w:rsidRDefault="00107668" w:rsidP="00461E9A">
      <w:pPr>
        <w:rPr>
          <w:rFonts w:cs="Arial"/>
          <w:b/>
          <w:sz w:val="28"/>
          <w:szCs w:val="28"/>
        </w:rPr>
      </w:pPr>
    </w:p>
    <w:p w:rsidR="00107668" w:rsidRPr="00EA7AEA" w:rsidRDefault="00107668" w:rsidP="00461E9A">
      <w:pPr>
        <w:rPr>
          <w:rFonts w:cs="Arial"/>
          <w:b/>
          <w:sz w:val="28"/>
          <w:szCs w:val="28"/>
        </w:rPr>
      </w:pPr>
    </w:p>
    <w:p w:rsidR="00107668" w:rsidRPr="00EA7AEA" w:rsidRDefault="00107668" w:rsidP="00461E9A">
      <w:pPr>
        <w:rPr>
          <w:rFonts w:cs="Arial"/>
          <w:b/>
          <w:sz w:val="28"/>
          <w:szCs w:val="28"/>
        </w:rPr>
      </w:pPr>
    </w:p>
    <w:p w:rsidR="00107668" w:rsidRPr="00EA7AEA" w:rsidRDefault="00107668" w:rsidP="00461E9A">
      <w:pPr>
        <w:rPr>
          <w:rFonts w:cs="Arial"/>
          <w:b/>
          <w:sz w:val="28"/>
          <w:szCs w:val="28"/>
        </w:rPr>
      </w:pPr>
    </w:p>
    <w:p w:rsidR="00107668" w:rsidRPr="00EA7AEA" w:rsidRDefault="00107668" w:rsidP="00461E9A">
      <w:pPr>
        <w:rPr>
          <w:rFonts w:cs="Arial"/>
          <w:b/>
          <w:sz w:val="28"/>
          <w:szCs w:val="28"/>
        </w:rPr>
      </w:pPr>
    </w:p>
    <w:p w:rsidR="00107668" w:rsidRPr="00EA7AEA" w:rsidRDefault="00107668" w:rsidP="00461E9A">
      <w:pPr>
        <w:rPr>
          <w:rFonts w:cs="Arial"/>
          <w:b/>
          <w:sz w:val="28"/>
          <w:szCs w:val="28"/>
        </w:rPr>
      </w:pPr>
    </w:p>
    <w:p w:rsidR="00107668" w:rsidRPr="00EA7AEA" w:rsidRDefault="00107668" w:rsidP="00461E9A">
      <w:pPr>
        <w:rPr>
          <w:rFonts w:cs="Arial"/>
          <w:b/>
          <w:sz w:val="28"/>
          <w:szCs w:val="28"/>
        </w:rPr>
      </w:pPr>
    </w:p>
    <w:p w:rsidR="00107668" w:rsidRPr="00EA7AEA" w:rsidRDefault="00107668" w:rsidP="00461E9A">
      <w:pPr>
        <w:rPr>
          <w:rFonts w:cs="Arial"/>
          <w:b/>
          <w:sz w:val="28"/>
          <w:szCs w:val="28"/>
        </w:rPr>
      </w:pPr>
    </w:p>
    <w:p w:rsidR="00107668" w:rsidRPr="00EA7AEA" w:rsidRDefault="00107668" w:rsidP="00461E9A">
      <w:pPr>
        <w:rPr>
          <w:rFonts w:cs="Arial"/>
          <w:b/>
          <w:sz w:val="28"/>
          <w:szCs w:val="28"/>
        </w:rPr>
      </w:pPr>
    </w:p>
    <w:p w:rsidR="00107668" w:rsidRPr="00EA7AEA" w:rsidRDefault="00107668" w:rsidP="00461E9A">
      <w:pPr>
        <w:rPr>
          <w:rFonts w:cs="Arial"/>
          <w:b/>
          <w:sz w:val="28"/>
          <w:szCs w:val="28"/>
        </w:rPr>
      </w:pPr>
    </w:p>
    <w:p w:rsidR="00107668" w:rsidRPr="00EA7AEA" w:rsidRDefault="00107668" w:rsidP="00461E9A">
      <w:pPr>
        <w:rPr>
          <w:rFonts w:cs="Arial"/>
          <w:b/>
          <w:sz w:val="28"/>
          <w:szCs w:val="28"/>
        </w:rPr>
      </w:pPr>
    </w:p>
    <w:p w:rsidR="00107668" w:rsidRPr="00EA7AEA" w:rsidRDefault="00107668" w:rsidP="00461E9A">
      <w:pPr>
        <w:rPr>
          <w:rFonts w:cs="Arial"/>
          <w:b/>
          <w:sz w:val="28"/>
          <w:szCs w:val="28"/>
        </w:rPr>
      </w:pPr>
    </w:p>
    <w:p w:rsidR="00107668" w:rsidRPr="00EA7AEA" w:rsidRDefault="00107668" w:rsidP="00461E9A">
      <w:pPr>
        <w:rPr>
          <w:rFonts w:cs="Arial"/>
          <w:b/>
          <w:sz w:val="28"/>
          <w:szCs w:val="28"/>
        </w:rPr>
      </w:pPr>
    </w:p>
    <w:p w:rsidR="00107668" w:rsidRPr="00EA7AEA" w:rsidRDefault="00107668" w:rsidP="00461E9A">
      <w:pPr>
        <w:rPr>
          <w:rFonts w:cs="Arial"/>
          <w:b/>
          <w:sz w:val="28"/>
          <w:szCs w:val="28"/>
        </w:rPr>
      </w:pPr>
    </w:p>
    <w:p w:rsidR="00107668" w:rsidRPr="00EA7AEA" w:rsidRDefault="00107668" w:rsidP="00461E9A">
      <w:pPr>
        <w:rPr>
          <w:rFonts w:cs="Arial"/>
          <w:b/>
          <w:sz w:val="28"/>
          <w:szCs w:val="28"/>
        </w:rPr>
      </w:pPr>
    </w:p>
    <w:p w:rsidR="00107668" w:rsidRPr="00EA7AEA" w:rsidRDefault="00107668" w:rsidP="00461E9A">
      <w:pPr>
        <w:rPr>
          <w:rFonts w:cs="Arial"/>
          <w:b/>
          <w:sz w:val="28"/>
          <w:szCs w:val="28"/>
        </w:rPr>
      </w:pPr>
    </w:p>
    <w:p w:rsidR="00107668" w:rsidRPr="00EA7AEA" w:rsidRDefault="00107668" w:rsidP="00461E9A">
      <w:pPr>
        <w:rPr>
          <w:rFonts w:cs="Arial"/>
          <w:b/>
          <w:sz w:val="28"/>
          <w:szCs w:val="28"/>
        </w:rPr>
      </w:pPr>
    </w:p>
    <w:p w:rsidR="00107668" w:rsidRPr="00EA7AEA" w:rsidRDefault="00107668" w:rsidP="00461E9A">
      <w:pPr>
        <w:rPr>
          <w:rFonts w:cs="Arial"/>
          <w:b/>
          <w:sz w:val="28"/>
          <w:szCs w:val="28"/>
        </w:rPr>
      </w:pPr>
    </w:p>
    <w:p w:rsidR="00107668" w:rsidRPr="00EA7AEA" w:rsidRDefault="00107668" w:rsidP="00461E9A">
      <w:pPr>
        <w:rPr>
          <w:rFonts w:cs="Arial"/>
          <w:b/>
          <w:sz w:val="28"/>
          <w:szCs w:val="28"/>
        </w:rPr>
      </w:pPr>
    </w:p>
    <w:p w:rsidR="00107668" w:rsidRPr="00EA7AEA" w:rsidRDefault="00107668" w:rsidP="00461E9A">
      <w:pPr>
        <w:rPr>
          <w:rFonts w:cs="Arial"/>
          <w:b/>
          <w:sz w:val="28"/>
          <w:szCs w:val="28"/>
        </w:rPr>
      </w:pPr>
    </w:p>
    <w:p w:rsidR="00107668" w:rsidRPr="00EA7AEA" w:rsidRDefault="00107668" w:rsidP="00461E9A">
      <w:pPr>
        <w:rPr>
          <w:rFonts w:cs="Arial"/>
          <w:b/>
          <w:sz w:val="28"/>
          <w:szCs w:val="28"/>
        </w:rPr>
      </w:pPr>
    </w:p>
    <w:p w:rsidR="00F86B43" w:rsidRPr="00EA7AEA" w:rsidRDefault="00F86B43" w:rsidP="00F86B43">
      <w:pPr>
        <w:rPr>
          <w:rFonts w:cs="Arial"/>
          <w:b/>
          <w:sz w:val="28"/>
          <w:szCs w:val="28"/>
        </w:rPr>
      </w:pPr>
    </w:p>
    <w:p w:rsidR="00F86B43" w:rsidRPr="00EA7AEA" w:rsidRDefault="00F86B43" w:rsidP="00F86B43">
      <w:pPr>
        <w:rPr>
          <w:rFonts w:cs="Arial"/>
          <w:b/>
          <w:sz w:val="28"/>
          <w:szCs w:val="28"/>
        </w:rPr>
      </w:pPr>
    </w:p>
    <w:p w:rsidR="00F86B43" w:rsidRPr="00EA7AEA" w:rsidRDefault="00F86B43" w:rsidP="00F86B43">
      <w:pPr>
        <w:rPr>
          <w:rFonts w:cs="Arial"/>
          <w:b/>
          <w:sz w:val="28"/>
          <w:szCs w:val="28"/>
        </w:rPr>
      </w:pPr>
    </w:p>
    <w:p w:rsidR="00F86B43" w:rsidRPr="00EA7AEA" w:rsidRDefault="00F86B43" w:rsidP="00F86B43">
      <w:pPr>
        <w:rPr>
          <w:rFonts w:cs="Arial"/>
          <w:b/>
          <w:sz w:val="28"/>
          <w:szCs w:val="28"/>
        </w:rPr>
      </w:pPr>
    </w:p>
    <w:p w:rsidR="00F86B43" w:rsidRPr="00EA7AEA" w:rsidRDefault="00F86B43" w:rsidP="00F86B43">
      <w:pPr>
        <w:rPr>
          <w:rFonts w:cs="Arial"/>
          <w:b/>
          <w:sz w:val="28"/>
          <w:szCs w:val="28"/>
        </w:rPr>
      </w:pPr>
    </w:p>
    <w:p w:rsidR="00F86B43" w:rsidRPr="00EA7AEA" w:rsidRDefault="00F86B43" w:rsidP="00F86B43">
      <w:pPr>
        <w:rPr>
          <w:rFonts w:cs="Arial"/>
          <w:b/>
          <w:sz w:val="28"/>
          <w:szCs w:val="28"/>
        </w:rPr>
      </w:pPr>
    </w:p>
    <w:p w:rsidR="00F86B43" w:rsidRPr="00EA7AEA" w:rsidRDefault="00F86B43" w:rsidP="00F86B43">
      <w:pPr>
        <w:rPr>
          <w:rFonts w:cs="Arial"/>
          <w:b/>
          <w:sz w:val="28"/>
          <w:szCs w:val="28"/>
        </w:rPr>
      </w:pPr>
    </w:p>
    <w:p w:rsidR="00F86B43" w:rsidRPr="00EA7AEA" w:rsidRDefault="00F86B43" w:rsidP="00F86B43">
      <w:pPr>
        <w:rPr>
          <w:rFonts w:cs="Arial"/>
          <w:b/>
          <w:sz w:val="28"/>
          <w:szCs w:val="28"/>
        </w:rPr>
      </w:pPr>
    </w:p>
    <w:p w:rsidR="00F86B43" w:rsidRPr="00EA7AEA" w:rsidRDefault="00F86B43" w:rsidP="00F86B43">
      <w:pPr>
        <w:rPr>
          <w:rFonts w:cs="Arial"/>
          <w:b/>
          <w:sz w:val="28"/>
          <w:szCs w:val="28"/>
        </w:rPr>
      </w:pPr>
    </w:p>
    <w:p w:rsidR="00F86B43" w:rsidRPr="00EA7AEA" w:rsidRDefault="00F86B43" w:rsidP="00F86B43">
      <w:pPr>
        <w:rPr>
          <w:rFonts w:cs="Arial"/>
          <w:b/>
          <w:sz w:val="28"/>
          <w:szCs w:val="28"/>
        </w:rPr>
      </w:pPr>
      <w:r w:rsidRPr="00EA7AEA">
        <w:rPr>
          <w:rFonts w:cs="Arial"/>
          <w:b/>
          <w:sz w:val="28"/>
          <w:szCs w:val="28"/>
        </w:rPr>
        <w:lastRenderedPageBreak/>
        <w:t xml:space="preserve">Executive Summary: </w:t>
      </w:r>
    </w:p>
    <w:p w:rsidR="00F86B43" w:rsidRPr="00EA7AEA" w:rsidRDefault="00F86B43" w:rsidP="00F86B43">
      <w:pPr>
        <w:rPr>
          <w:rFonts w:cs="Arial"/>
          <w:u w:val="single"/>
        </w:rPr>
      </w:pPr>
    </w:p>
    <w:p w:rsidR="00F86B43" w:rsidRPr="00EA7AEA" w:rsidRDefault="00F86B43" w:rsidP="00F86B43">
      <w:pPr>
        <w:jc w:val="both"/>
        <w:rPr>
          <w:rFonts w:cs="Arial"/>
        </w:rPr>
      </w:pPr>
      <w:r w:rsidRPr="00EA7AEA">
        <w:rPr>
          <w:rFonts w:cs="Arial"/>
        </w:rPr>
        <w:t>This Procurement Strategy incorporating a Contestability Framework, Market Management and Dispute Resolution Policy has been prepared by the Head of Procurement and endorsed by the Director of Clinical Implementation for consideration by the NHS Gloucestershire Clinical Commissioning Board.</w:t>
      </w:r>
    </w:p>
    <w:p w:rsidR="00F86B43" w:rsidRPr="00EA7AEA" w:rsidRDefault="00F86B43" w:rsidP="00F86B43">
      <w:pPr>
        <w:jc w:val="both"/>
        <w:rPr>
          <w:rFonts w:cs="Arial"/>
        </w:rPr>
      </w:pPr>
    </w:p>
    <w:p w:rsidR="00F86B43" w:rsidRPr="00EA7AEA" w:rsidRDefault="00F86B43" w:rsidP="00F86B43">
      <w:pPr>
        <w:jc w:val="both"/>
        <w:rPr>
          <w:rFonts w:cs="Arial"/>
        </w:rPr>
      </w:pPr>
      <w:r w:rsidRPr="00EA7AEA">
        <w:rPr>
          <w:rFonts w:cs="Arial"/>
        </w:rPr>
        <w:t>This document builds on the previous NHS Gloucestershire procurement strategy document, incorporating revised Department of Health best procurement practice and secondary procurement legislation introduced by the UK Government in March 2013.</w:t>
      </w:r>
    </w:p>
    <w:p w:rsidR="00F86B43" w:rsidRPr="00EA7AEA" w:rsidRDefault="00F86B43" w:rsidP="00F86B43">
      <w:pPr>
        <w:jc w:val="both"/>
        <w:rPr>
          <w:rFonts w:cs="Arial"/>
        </w:rPr>
      </w:pPr>
    </w:p>
    <w:p w:rsidR="00F86B43" w:rsidRPr="00EA7AEA" w:rsidRDefault="00F86B43" w:rsidP="00F86B43">
      <w:pPr>
        <w:jc w:val="both"/>
        <w:rPr>
          <w:rFonts w:cs="Arial"/>
        </w:rPr>
      </w:pPr>
      <w:r w:rsidRPr="00EA7AEA">
        <w:rPr>
          <w:rFonts w:cs="Arial"/>
        </w:rPr>
        <w:t xml:space="preserve">The document will require regular review / updates to take into account planned changes to the European Union procurement directives in Autumn 2013 and any case law emerging from the introduction of The National Health Service (Procurement, Patient Choice and Competition) (No.2) Regulations 2013. </w:t>
      </w: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F86B43" w:rsidRPr="00EA7AEA" w:rsidRDefault="00F86B43" w:rsidP="00461E9A">
      <w:pPr>
        <w:rPr>
          <w:rFonts w:cs="Arial"/>
          <w:b/>
          <w:sz w:val="28"/>
          <w:szCs w:val="28"/>
        </w:rPr>
      </w:pPr>
    </w:p>
    <w:p w:rsidR="00461E9A" w:rsidRPr="00EA7AEA" w:rsidRDefault="00057C99" w:rsidP="00461E9A">
      <w:pPr>
        <w:rPr>
          <w:rFonts w:cs="Arial"/>
          <w:b/>
          <w:sz w:val="28"/>
          <w:szCs w:val="28"/>
        </w:rPr>
      </w:pPr>
      <w:r w:rsidRPr="00EA7AEA">
        <w:rPr>
          <w:rFonts w:cs="Arial"/>
          <w:b/>
          <w:sz w:val="28"/>
          <w:szCs w:val="28"/>
        </w:rPr>
        <w:lastRenderedPageBreak/>
        <w:t xml:space="preserve">Part </w:t>
      </w:r>
      <w:proofErr w:type="gramStart"/>
      <w:r w:rsidRPr="00EA7AEA">
        <w:rPr>
          <w:rFonts w:cs="Arial"/>
          <w:b/>
          <w:sz w:val="28"/>
          <w:szCs w:val="28"/>
        </w:rPr>
        <w:t>A</w:t>
      </w:r>
      <w:proofErr w:type="gramEnd"/>
      <w:r w:rsidRPr="00EA7AEA">
        <w:rPr>
          <w:rFonts w:cs="Arial"/>
          <w:b/>
          <w:sz w:val="28"/>
          <w:szCs w:val="28"/>
        </w:rPr>
        <w:tab/>
        <w:t>Procurement Strategy</w:t>
      </w:r>
    </w:p>
    <w:p w:rsidR="006C7896" w:rsidRPr="00EA7AEA" w:rsidRDefault="006C7896" w:rsidP="006C7896">
      <w:pPr>
        <w:pStyle w:val="ListParagraph"/>
        <w:jc w:val="both"/>
        <w:rPr>
          <w:rFonts w:cs="Arial"/>
          <w:u w:val="single"/>
        </w:rPr>
      </w:pPr>
    </w:p>
    <w:p w:rsidR="00C81585" w:rsidRPr="00EA7AEA" w:rsidRDefault="00EB7B71" w:rsidP="00264B71">
      <w:pPr>
        <w:pStyle w:val="ListParagraph"/>
        <w:numPr>
          <w:ilvl w:val="0"/>
          <w:numId w:val="4"/>
        </w:numPr>
        <w:ind w:hanging="720"/>
        <w:jc w:val="both"/>
        <w:rPr>
          <w:rFonts w:cs="Arial"/>
          <w:u w:val="single"/>
        </w:rPr>
      </w:pPr>
      <w:r w:rsidRPr="00EA7AEA">
        <w:rPr>
          <w:rFonts w:cs="Arial"/>
          <w:u w:val="single"/>
        </w:rPr>
        <w:t>Purpose</w:t>
      </w:r>
      <w:r w:rsidR="00A94452" w:rsidRPr="00EA7AEA">
        <w:rPr>
          <w:rFonts w:cs="Arial"/>
          <w:u w:val="single"/>
        </w:rPr>
        <w:t xml:space="preserve"> / Introduction</w:t>
      </w:r>
      <w:r w:rsidRPr="00EA7AEA">
        <w:rPr>
          <w:rFonts w:cs="Arial"/>
          <w:u w:val="single"/>
        </w:rPr>
        <w:t>:</w:t>
      </w:r>
    </w:p>
    <w:p w:rsidR="001C2535" w:rsidRPr="00EA7AEA" w:rsidRDefault="001C2535" w:rsidP="00636618">
      <w:pPr>
        <w:jc w:val="both"/>
        <w:rPr>
          <w:rFonts w:cs="Arial"/>
        </w:rPr>
      </w:pPr>
    </w:p>
    <w:p w:rsidR="001C2535" w:rsidRPr="00EA7AEA" w:rsidRDefault="00AE224C" w:rsidP="00636618">
      <w:pPr>
        <w:jc w:val="both"/>
        <w:rPr>
          <w:rFonts w:cs="Arial"/>
        </w:rPr>
      </w:pPr>
      <w:r w:rsidRPr="00EA7AEA">
        <w:rPr>
          <w:rFonts w:cs="Arial"/>
        </w:rPr>
        <w:t>NHS Gloucestershire’s Clinical Commissioning Group (</w:t>
      </w:r>
      <w:r w:rsidR="00D4121E" w:rsidRPr="00EA7AEA">
        <w:rPr>
          <w:rFonts w:cs="Arial"/>
        </w:rPr>
        <w:t>G</w:t>
      </w:r>
      <w:r w:rsidRPr="00EA7AEA">
        <w:rPr>
          <w:rFonts w:cs="Arial"/>
        </w:rPr>
        <w:t>CCG) is responsible for the commissioning of high quality, value for money health</w:t>
      </w:r>
      <w:r w:rsidR="00E46443" w:rsidRPr="00EA7AEA">
        <w:rPr>
          <w:rFonts w:cs="Arial"/>
        </w:rPr>
        <w:t xml:space="preserve"> </w:t>
      </w:r>
      <w:r w:rsidRPr="00EA7AEA">
        <w:rPr>
          <w:rFonts w:cs="Arial"/>
        </w:rPr>
        <w:t xml:space="preserve">care services to the patients of Gloucestershire.  The </w:t>
      </w:r>
      <w:r w:rsidR="00D4121E" w:rsidRPr="00EA7AEA">
        <w:rPr>
          <w:rFonts w:cs="Arial"/>
        </w:rPr>
        <w:t>G</w:t>
      </w:r>
      <w:r w:rsidRPr="00EA7AEA">
        <w:rPr>
          <w:rFonts w:cs="Arial"/>
        </w:rPr>
        <w:t>C</w:t>
      </w:r>
      <w:r w:rsidR="00D4121E" w:rsidRPr="00EA7AEA">
        <w:rPr>
          <w:rFonts w:cs="Arial"/>
        </w:rPr>
        <w:t>C</w:t>
      </w:r>
      <w:r w:rsidRPr="00EA7AEA">
        <w:rPr>
          <w:rFonts w:cs="Arial"/>
        </w:rPr>
        <w:t>G</w:t>
      </w:r>
      <w:r w:rsidR="00875363" w:rsidRPr="00EA7AEA">
        <w:rPr>
          <w:rFonts w:cs="Arial"/>
        </w:rPr>
        <w:t xml:space="preserve"> procurement strategy sets out its approach to achieving its </w:t>
      </w:r>
      <w:r w:rsidR="009C153D" w:rsidRPr="00EA7AEA">
        <w:rPr>
          <w:rFonts w:cs="Arial"/>
        </w:rPr>
        <w:t xml:space="preserve">delivery </w:t>
      </w:r>
      <w:r w:rsidR="00875363" w:rsidRPr="00EA7AEA">
        <w:rPr>
          <w:rFonts w:cs="Arial"/>
        </w:rPr>
        <w:t xml:space="preserve">objectives through the application of good procurement practice.  </w:t>
      </w:r>
    </w:p>
    <w:p w:rsidR="00AE224C" w:rsidRPr="00EA7AEA" w:rsidRDefault="00AE224C" w:rsidP="00636618">
      <w:pPr>
        <w:autoSpaceDE w:val="0"/>
        <w:autoSpaceDN w:val="0"/>
        <w:adjustRightInd w:val="0"/>
        <w:jc w:val="both"/>
        <w:rPr>
          <w:rFonts w:cs="Arial"/>
        </w:rPr>
      </w:pPr>
    </w:p>
    <w:p w:rsidR="001C2535" w:rsidRPr="00EA7AEA" w:rsidRDefault="00AE224C" w:rsidP="00636618">
      <w:pPr>
        <w:autoSpaceDE w:val="0"/>
        <w:autoSpaceDN w:val="0"/>
        <w:adjustRightInd w:val="0"/>
        <w:jc w:val="both"/>
        <w:rPr>
          <w:rFonts w:cs="Arial"/>
        </w:rPr>
      </w:pPr>
      <w:r w:rsidRPr="00EA7AEA">
        <w:rPr>
          <w:rFonts w:cs="Arial"/>
        </w:rPr>
        <w:t>Selecting the correct (most appropriate)</w:t>
      </w:r>
      <w:r w:rsidR="001C2535" w:rsidRPr="00EA7AEA">
        <w:rPr>
          <w:rFonts w:cs="Arial"/>
        </w:rPr>
        <w:t xml:space="preserve"> procurement process can produce considerable quality improvements</w:t>
      </w:r>
      <w:r w:rsidR="00FF6589" w:rsidRPr="00EA7AEA">
        <w:rPr>
          <w:rFonts w:cs="Arial"/>
        </w:rPr>
        <w:t xml:space="preserve"> and cost savings</w:t>
      </w:r>
      <w:r w:rsidR="001C2535" w:rsidRPr="00EA7AEA">
        <w:rPr>
          <w:rFonts w:cs="Arial"/>
        </w:rPr>
        <w:t>. In the current NHS economic climate, we shall be required to make savings and efficiencies and strategic procurement is a useful tool in achieving this. It will also open up the market to a wider range of providers. This in turn shall help to drive up service quality</w:t>
      </w:r>
      <w:r w:rsidR="00FF6589" w:rsidRPr="00EA7AEA">
        <w:rPr>
          <w:rFonts w:cs="Arial"/>
        </w:rPr>
        <w:t xml:space="preserve">, </w:t>
      </w:r>
      <w:r w:rsidR="001C2535" w:rsidRPr="00EA7AEA">
        <w:rPr>
          <w:rFonts w:cs="Arial"/>
        </w:rPr>
        <w:t>innovation</w:t>
      </w:r>
      <w:r w:rsidR="00FF6589" w:rsidRPr="00EA7AEA">
        <w:rPr>
          <w:rFonts w:cs="Arial"/>
        </w:rPr>
        <w:t xml:space="preserve"> and patient choice</w:t>
      </w:r>
      <w:r w:rsidR="001C2535" w:rsidRPr="00EA7AEA">
        <w:rPr>
          <w:rFonts w:cs="Arial"/>
        </w:rPr>
        <w:t>.</w:t>
      </w:r>
    </w:p>
    <w:p w:rsidR="001C2535" w:rsidRPr="00EA7AEA" w:rsidRDefault="001C2535" w:rsidP="00636618">
      <w:pPr>
        <w:autoSpaceDE w:val="0"/>
        <w:autoSpaceDN w:val="0"/>
        <w:adjustRightInd w:val="0"/>
        <w:jc w:val="both"/>
        <w:rPr>
          <w:rFonts w:cs="Arial"/>
        </w:rPr>
      </w:pPr>
    </w:p>
    <w:p w:rsidR="001D2253" w:rsidRPr="00EA7AEA" w:rsidRDefault="001D2253" w:rsidP="00636618">
      <w:pPr>
        <w:autoSpaceDE w:val="0"/>
        <w:autoSpaceDN w:val="0"/>
        <w:adjustRightInd w:val="0"/>
        <w:jc w:val="both"/>
        <w:rPr>
          <w:rFonts w:cs="Arial"/>
        </w:rPr>
      </w:pPr>
      <w:r w:rsidRPr="00EA7AEA">
        <w:rPr>
          <w:rFonts w:cs="Arial"/>
        </w:rPr>
        <w:t xml:space="preserve">The objective of this policy is to provide a framework to ensure that all procurement activity is </w:t>
      </w:r>
      <w:r w:rsidR="004B1C95" w:rsidRPr="00EA7AEA">
        <w:rPr>
          <w:rFonts w:cs="Arial"/>
        </w:rPr>
        <w:t>transparent;</w:t>
      </w:r>
      <w:r w:rsidRPr="00EA7AEA">
        <w:rPr>
          <w:rFonts w:cs="Arial"/>
        </w:rPr>
        <w:t xml:space="preserve"> evidence based</w:t>
      </w:r>
      <w:r w:rsidR="004B1C95" w:rsidRPr="00EA7AEA">
        <w:rPr>
          <w:rFonts w:cs="Arial"/>
        </w:rPr>
        <w:t xml:space="preserve"> and</w:t>
      </w:r>
      <w:r w:rsidRPr="00EA7AEA">
        <w:rPr>
          <w:rFonts w:cs="Arial"/>
        </w:rPr>
        <w:t xml:space="preserve"> deliver</w:t>
      </w:r>
      <w:r w:rsidR="004B1C95" w:rsidRPr="00EA7AEA">
        <w:rPr>
          <w:rFonts w:cs="Arial"/>
        </w:rPr>
        <w:t>s</w:t>
      </w:r>
      <w:r w:rsidRPr="00EA7AEA">
        <w:rPr>
          <w:rFonts w:cs="Arial"/>
        </w:rPr>
        <w:t xml:space="preserve"> key business objectives.  Clinical services procured should be innovative, affordable, viable, clinically safe and effective. </w:t>
      </w:r>
      <w:r w:rsidR="004B1C95" w:rsidRPr="00EA7AEA">
        <w:rPr>
          <w:rFonts w:cs="Arial"/>
        </w:rPr>
        <w:t>Clinical service specification documents should set stretched targets to improve health outcomes and the quality of patient experience.</w:t>
      </w:r>
      <w:r w:rsidRPr="00EA7AEA">
        <w:rPr>
          <w:rFonts w:cs="Arial"/>
        </w:rPr>
        <w:t xml:space="preserve"> </w:t>
      </w:r>
    </w:p>
    <w:p w:rsidR="001D2253" w:rsidRPr="00EA7AEA" w:rsidRDefault="001D2253" w:rsidP="00636618">
      <w:pPr>
        <w:autoSpaceDE w:val="0"/>
        <w:autoSpaceDN w:val="0"/>
        <w:adjustRightInd w:val="0"/>
        <w:jc w:val="both"/>
        <w:rPr>
          <w:rFonts w:cs="Arial"/>
        </w:rPr>
      </w:pPr>
    </w:p>
    <w:p w:rsidR="00875363" w:rsidRPr="00EA7AEA" w:rsidRDefault="00875363" w:rsidP="00636618">
      <w:pPr>
        <w:autoSpaceDE w:val="0"/>
        <w:autoSpaceDN w:val="0"/>
        <w:adjustRightInd w:val="0"/>
        <w:jc w:val="both"/>
        <w:rPr>
          <w:rFonts w:cs="Arial"/>
        </w:rPr>
      </w:pPr>
      <w:r w:rsidRPr="00EA7AEA">
        <w:rPr>
          <w:rFonts w:cs="Arial"/>
        </w:rPr>
        <w:t>Th</w:t>
      </w:r>
      <w:r w:rsidR="00585FCA" w:rsidRPr="00EA7AEA">
        <w:rPr>
          <w:rFonts w:cs="Arial"/>
        </w:rPr>
        <w:t>is</w:t>
      </w:r>
      <w:r w:rsidRPr="00EA7AEA">
        <w:rPr>
          <w:rFonts w:cs="Arial"/>
        </w:rPr>
        <w:t xml:space="preserve"> procurement strategy does not offer detailed advice for specific health</w:t>
      </w:r>
      <w:r w:rsidR="00E46443" w:rsidRPr="00EA7AEA">
        <w:rPr>
          <w:rFonts w:cs="Arial"/>
        </w:rPr>
        <w:t xml:space="preserve"> </w:t>
      </w:r>
      <w:r w:rsidRPr="00EA7AEA">
        <w:rPr>
          <w:rFonts w:cs="Arial"/>
        </w:rPr>
        <w:t xml:space="preserve">care groups or activity but sets out guidance for the </w:t>
      </w:r>
      <w:r w:rsidR="00D4121E" w:rsidRPr="00EA7AEA">
        <w:rPr>
          <w:rFonts w:cs="Arial"/>
        </w:rPr>
        <w:t>G</w:t>
      </w:r>
      <w:r w:rsidRPr="00EA7AEA">
        <w:rPr>
          <w:rFonts w:cs="Arial"/>
        </w:rPr>
        <w:t>CCG on how to decide on the appropriate activity to be undertaken whilst ensuring compliance with current European Union procurement regulation</w:t>
      </w:r>
      <w:r w:rsidR="00F24772" w:rsidRPr="00EA7AEA">
        <w:rPr>
          <w:rFonts w:cs="Arial"/>
        </w:rPr>
        <w:t>, UK Government legislation</w:t>
      </w:r>
      <w:r w:rsidRPr="00EA7AEA">
        <w:rPr>
          <w:rFonts w:cs="Arial"/>
        </w:rPr>
        <w:t xml:space="preserve"> and Department of Health </w:t>
      </w:r>
      <w:r w:rsidR="006F0A88" w:rsidRPr="00EA7AEA">
        <w:rPr>
          <w:rFonts w:cs="Arial"/>
        </w:rPr>
        <w:t xml:space="preserve">procurement </w:t>
      </w:r>
      <w:r w:rsidRPr="00EA7AEA">
        <w:rPr>
          <w:rFonts w:cs="Arial"/>
        </w:rPr>
        <w:t>best practice.</w:t>
      </w:r>
    </w:p>
    <w:p w:rsidR="00875363" w:rsidRPr="00EA7AEA" w:rsidRDefault="00875363" w:rsidP="00636618">
      <w:pPr>
        <w:autoSpaceDE w:val="0"/>
        <w:autoSpaceDN w:val="0"/>
        <w:adjustRightInd w:val="0"/>
        <w:jc w:val="both"/>
        <w:rPr>
          <w:rFonts w:cs="Arial"/>
        </w:rPr>
      </w:pPr>
    </w:p>
    <w:p w:rsidR="001C2535" w:rsidRPr="00EA7AEA" w:rsidRDefault="001C2535" w:rsidP="00636618">
      <w:pPr>
        <w:autoSpaceDE w:val="0"/>
        <w:autoSpaceDN w:val="0"/>
        <w:adjustRightInd w:val="0"/>
        <w:jc w:val="both"/>
        <w:rPr>
          <w:rFonts w:cs="Arial"/>
        </w:rPr>
      </w:pPr>
      <w:r w:rsidRPr="00EA7AEA">
        <w:rPr>
          <w:rFonts w:cs="Arial"/>
        </w:rPr>
        <w:t>The July 2010 White Paper “Equity and Excellence: Liberating the NHS” made clear the need for the NHS to deliver efficiency savings, whilst setting out the proposed direction for the NHS</w:t>
      </w:r>
      <w:r w:rsidR="00AE224C" w:rsidRPr="00EA7AEA">
        <w:rPr>
          <w:rFonts w:cs="Arial"/>
        </w:rPr>
        <w:t>.  This included</w:t>
      </w:r>
      <w:r w:rsidRPr="00EA7AEA">
        <w:rPr>
          <w:rFonts w:cs="Arial"/>
        </w:rPr>
        <w:t>:</w:t>
      </w:r>
    </w:p>
    <w:p w:rsidR="001C2535" w:rsidRPr="00EA7AEA" w:rsidRDefault="001C2535" w:rsidP="00636618">
      <w:pPr>
        <w:autoSpaceDE w:val="0"/>
        <w:autoSpaceDN w:val="0"/>
        <w:adjustRightInd w:val="0"/>
        <w:jc w:val="both"/>
        <w:rPr>
          <w:rFonts w:cs="Arial"/>
        </w:rPr>
      </w:pPr>
    </w:p>
    <w:p w:rsidR="009A3799" w:rsidRPr="00EA7AEA" w:rsidRDefault="009A3799" w:rsidP="00AE224C">
      <w:pPr>
        <w:pStyle w:val="ListParagraph"/>
        <w:numPr>
          <w:ilvl w:val="0"/>
          <w:numId w:val="1"/>
        </w:numPr>
        <w:autoSpaceDE w:val="0"/>
        <w:autoSpaceDN w:val="0"/>
        <w:adjustRightInd w:val="0"/>
        <w:jc w:val="both"/>
        <w:rPr>
          <w:rFonts w:cs="Arial"/>
        </w:rPr>
      </w:pPr>
      <w:r w:rsidRPr="00EA7AEA">
        <w:rPr>
          <w:rFonts w:cs="Arial"/>
        </w:rPr>
        <w:t>Focussing on clinical outcomes (quality) rather than targets</w:t>
      </w:r>
    </w:p>
    <w:p w:rsidR="00AE224C" w:rsidRPr="00EA7AEA" w:rsidRDefault="00AE224C" w:rsidP="00AE224C">
      <w:pPr>
        <w:pStyle w:val="ListParagraph"/>
        <w:numPr>
          <w:ilvl w:val="0"/>
          <w:numId w:val="1"/>
        </w:numPr>
        <w:autoSpaceDE w:val="0"/>
        <w:autoSpaceDN w:val="0"/>
        <w:adjustRightInd w:val="0"/>
        <w:jc w:val="both"/>
        <w:rPr>
          <w:rFonts w:cs="Arial"/>
        </w:rPr>
      </w:pPr>
      <w:r w:rsidRPr="00EA7AEA">
        <w:rPr>
          <w:rFonts w:cs="Arial"/>
        </w:rPr>
        <w:t>Empowering clinicians and other health</w:t>
      </w:r>
      <w:r w:rsidR="00E46443" w:rsidRPr="00EA7AEA">
        <w:rPr>
          <w:rFonts w:cs="Arial"/>
        </w:rPr>
        <w:t xml:space="preserve"> </w:t>
      </w:r>
      <w:r w:rsidRPr="00EA7AEA">
        <w:rPr>
          <w:rFonts w:cs="Arial"/>
        </w:rPr>
        <w:t>care professionals to use their judgement and innovate</w:t>
      </w:r>
    </w:p>
    <w:p w:rsidR="001C2535" w:rsidRPr="00EA7AEA" w:rsidRDefault="001C2535" w:rsidP="00636618">
      <w:pPr>
        <w:pStyle w:val="ListParagraph"/>
        <w:numPr>
          <w:ilvl w:val="0"/>
          <w:numId w:val="1"/>
        </w:numPr>
        <w:autoSpaceDE w:val="0"/>
        <w:autoSpaceDN w:val="0"/>
        <w:adjustRightInd w:val="0"/>
        <w:jc w:val="both"/>
        <w:rPr>
          <w:rFonts w:cs="Arial"/>
        </w:rPr>
      </w:pPr>
      <w:r w:rsidRPr="00EA7AEA">
        <w:rPr>
          <w:rFonts w:cs="Arial"/>
        </w:rPr>
        <w:t>Giving patients greater choice</w:t>
      </w:r>
    </w:p>
    <w:p w:rsidR="00461E9A" w:rsidRPr="00EA7AEA" w:rsidRDefault="00461E9A" w:rsidP="00636618">
      <w:pPr>
        <w:jc w:val="both"/>
        <w:rPr>
          <w:rFonts w:cs="Arial"/>
        </w:rPr>
      </w:pPr>
    </w:p>
    <w:p w:rsidR="001C2535" w:rsidRPr="00EA7AEA" w:rsidRDefault="00AE224C" w:rsidP="00636618">
      <w:pPr>
        <w:autoSpaceDE w:val="0"/>
        <w:autoSpaceDN w:val="0"/>
        <w:adjustRightInd w:val="0"/>
        <w:jc w:val="both"/>
        <w:rPr>
          <w:rFonts w:cs="Arial"/>
        </w:rPr>
      </w:pPr>
      <w:r w:rsidRPr="00EA7AEA">
        <w:rPr>
          <w:rFonts w:cs="Arial"/>
        </w:rPr>
        <w:t xml:space="preserve">To achieve these aims, the </w:t>
      </w:r>
      <w:r w:rsidR="00D4121E" w:rsidRPr="00EA7AEA">
        <w:rPr>
          <w:rFonts w:cs="Arial"/>
        </w:rPr>
        <w:t>G</w:t>
      </w:r>
      <w:r w:rsidRPr="00EA7AEA">
        <w:rPr>
          <w:rFonts w:cs="Arial"/>
        </w:rPr>
        <w:t>CCG</w:t>
      </w:r>
      <w:r w:rsidR="001C2535" w:rsidRPr="00EA7AEA">
        <w:rPr>
          <w:rFonts w:cs="Arial"/>
        </w:rPr>
        <w:t xml:space="preserve"> </w:t>
      </w:r>
      <w:r w:rsidR="00AD48D3" w:rsidRPr="00EA7AEA">
        <w:rPr>
          <w:rFonts w:cs="Arial"/>
        </w:rPr>
        <w:t>will</w:t>
      </w:r>
      <w:r w:rsidR="001C2535" w:rsidRPr="00EA7AEA">
        <w:rPr>
          <w:rFonts w:cs="Arial"/>
        </w:rPr>
        <w:t>:</w:t>
      </w:r>
    </w:p>
    <w:p w:rsidR="00F35EA2" w:rsidRPr="00EA7AEA" w:rsidRDefault="00F35EA2" w:rsidP="00636618">
      <w:pPr>
        <w:autoSpaceDE w:val="0"/>
        <w:autoSpaceDN w:val="0"/>
        <w:adjustRightInd w:val="0"/>
        <w:jc w:val="both"/>
        <w:rPr>
          <w:rFonts w:cs="Arial"/>
        </w:rPr>
      </w:pPr>
    </w:p>
    <w:p w:rsidR="00AE224C" w:rsidRPr="00EA7AEA" w:rsidRDefault="009A3799" w:rsidP="00264B71">
      <w:pPr>
        <w:pStyle w:val="ListParagraph"/>
        <w:numPr>
          <w:ilvl w:val="0"/>
          <w:numId w:val="2"/>
        </w:numPr>
        <w:autoSpaceDE w:val="0"/>
        <w:autoSpaceDN w:val="0"/>
        <w:adjustRightInd w:val="0"/>
        <w:jc w:val="both"/>
        <w:rPr>
          <w:rFonts w:cs="Arial"/>
        </w:rPr>
      </w:pPr>
      <w:r w:rsidRPr="00EA7AEA">
        <w:rPr>
          <w:rFonts w:cs="Arial"/>
        </w:rPr>
        <w:t>C</w:t>
      </w:r>
      <w:r w:rsidR="00BA7892" w:rsidRPr="00EA7AEA">
        <w:rPr>
          <w:rFonts w:cs="Arial"/>
        </w:rPr>
        <w:t xml:space="preserve">ontinuously </w:t>
      </w:r>
      <w:r w:rsidRPr="00EA7AEA">
        <w:rPr>
          <w:rFonts w:cs="Arial"/>
        </w:rPr>
        <w:t>review current health</w:t>
      </w:r>
      <w:r w:rsidR="00E46443" w:rsidRPr="00EA7AEA">
        <w:rPr>
          <w:rFonts w:cs="Arial"/>
        </w:rPr>
        <w:t xml:space="preserve"> </w:t>
      </w:r>
      <w:r w:rsidRPr="00EA7AEA">
        <w:rPr>
          <w:rFonts w:cs="Arial"/>
        </w:rPr>
        <w:t>care service</w:t>
      </w:r>
      <w:r w:rsidR="00BA7892" w:rsidRPr="00EA7AEA">
        <w:rPr>
          <w:rFonts w:cs="Arial"/>
        </w:rPr>
        <w:t>s</w:t>
      </w:r>
      <w:r w:rsidRPr="00EA7AEA">
        <w:rPr>
          <w:rFonts w:cs="Arial"/>
        </w:rPr>
        <w:t xml:space="preserve"> provision arrangements</w:t>
      </w:r>
      <w:r w:rsidR="001F7334" w:rsidRPr="00EA7AEA">
        <w:rPr>
          <w:rFonts w:cs="Arial"/>
        </w:rPr>
        <w:t xml:space="preserve"> from a </w:t>
      </w:r>
      <w:r w:rsidR="004A25C1" w:rsidRPr="00EA7AEA">
        <w:rPr>
          <w:rFonts w:cs="Arial"/>
        </w:rPr>
        <w:t xml:space="preserve">broad </w:t>
      </w:r>
      <w:r w:rsidR="001F7334" w:rsidRPr="00EA7AEA">
        <w:rPr>
          <w:rFonts w:cs="Arial"/>
        </w:rPr>
        <w:t>clinical and contractual perspective.</w:t>
      </w:r>
    </w:p>
    <w:p w:rsidR="009A3799" w:rsidRPr="00EA7AEA" w:rsidRDefault="009A3799" w:rsidP="00264B71">
      <w:pPr>
        <w:pStyle w:val="ListParagraph"/>
        <w:numPr>
          <w:ilvl w:val="0"/>
          <w:numId w:val="2"/>
        </w:numPr>
        <w:autoSpaceDE w:val="0"/>
        <w:autoSpaceDN w:val="0"/>
        <w:adjustRightInd w:val="0"/>
        <w:jc w:val="both"/>
        <w:rPr>
          <w:rFonts w:cs="Arial"/>
        </w:rPr>
      </w:pPr>
      <w:r w:rsidRPr="00EA7AEA">
        <w:rPr>
          <w:rFonts w:cs="Arial"/>
        </w:rPr>
        <w:t xml:space="preserve">Obtain quality information </w:t>
      </w:r>
      <w:r w:rsidR="004A25C1" w:rsidRPr="00EA7AEA">
        <w:rPr>
          <w:rFonts w:cs="Arial"/>
        </w:rPr>
        <w:t xml:space="preserve">data </w:t>
      </w:r>
      <w:r w:rsidRPr="00EA7AEA">
        <w:rPr>
          <w:rFonts w:cs="Arial"/>
        </w:rPr>
        <w:t>to inform transparent and fair decision making processes.</w:t>
      </w:r>
    </w:p>
    <w:p w:rsidR="00B37486" w:rsidRPr="00EA7AEA" w:rsidRDefault="00B37486" w:rsidP="00264B71">
      <w:pPr>
        <w:pStyle w:val="ListParagraph"/>
        <w:numPr>
          <w:ilvl w:val="0"/>
          <w:numId w:val="2"/>
        </w:numPr>
        <w:autoSpaceDE w:val="0"/>
        <w:autoSpaceDN w:val="0"/>
        <w:adjustRightInd w:val="0"/>
        <w:jc w:val="both"/>
        <w:rPr>
          <w:rFonts w:cs="Arial"/>
        </w:rPr>
      </w:pPr>
      <w:r w:rsidRPr="00EA7AEA">
        <w:rPr>
          <w:rFonts w:cs="Arial"/>
        </w:rPr>
        <w:t>Ascertain whether it is necessary, desirable or appropriate to invite competition in accordance / compliance with EU competition regulations</w:t>
      </w:r>
    </w:p>
    <w:p w:rsidR="001F7334" w:rsidRPr="00EA7AEA" w:rsidRDefault="001F7334" w:rsidP="00264B71">
      <w:pPr>
        <w:pStyle w:val="ListParagraph"/>
        <w:numPr>
          <w:ilvl w:val="0"/>
          <w:numId w:val="2"/>
        </w:numPr>
        <w:autoSpaceDE w:val="0"/>
        <w:autoSpaceDN w:val="0"/>
        <w:adjustRightInd w:val="0"/>
        <w:jc w:val="both"/>
        <w:rPr>
          <w:rFonts w:cs="Arial"/>
        </w:rPr>
      </w:pPr>
      <w:r w:rsidRPr="00EA7AEA">
        <w:rPr>
          <w:rFonts w:cs="Arial"/>
        </w:rPr>
        <w:t>Actively manage the provider market, creating greater patient choice whilst maintaining quality</w:t>
      </w:r>
      <w:r w:rsidR="00AD48D3" w:rsidRPr="00EA7AEA">
        <w:rPr>
          <w:rFonts w:cs="Arial"/>
        </w:rPr>
        <w:t xml:space="preserve"> outcomes</w:t>
      </w:r>
    </w:p>
    <w:p w:rsidR="00133B27" w:rsidRPr="00EA7AEA" w:rsidRDefault="00014142" w:rsidP="00264B71">
      <w:pPr>
        <w:pStyle w:val="ListParagraph"/>
        <w:numPr>
          <w:ilvl w:val="0"/>
          <w:numId w:val="2"/>
        </w:numPr>
        <w:autoSpaceDE w:val="0"/>
        <w:autoSpaceDN w:val="0"/>
        <w:adjustRightInd w:val="0"/>
        <w:jc w:val="both"/>
        <w:rPr>
          <w:rFonts w:cs="Arial"/>
        </w:rPr>
      </w:pPr>
      <w:r w:rsidRPr="00EA7AEA">
        <w:rPr>
          <w:rFonts w:cs="Arial"/>
        </w:rPr>
        <w:t>Engage and w</w:t>
      </w:r>
      <w:r w:rsidR="00133B27" w:rsidRPr="00EA7AEA">
        <w:rPr>
          <w:rFonts w:cs="Arial"/>
        </w:rPr>
        <w:t xml:space="preserve">ork closely with </w:t>
      </w:r>
      <w:r w:rsidRPr="00EA7AEA">
        <w:rPr>
          <w:rFonts w:cs="Arial"/>
        </w:rPr>
        <w:t>the local community and a range of health</w:t>
      </w:r>
      <w:r w:rsidR="00E46443" w:rsidRPr="00EA7AEA">
        <w:rPr>
          <w:rFonts w:cs="Arial"/>
        </w:rPr>
        <w:t xml:space="preserve"> </w:t>
      </w:r>
      <w:r w:rsidRPr="00EA7AEA">
        <w:rPr>
          <w:rFonts w:cs="Arial"/>
        </w:rPr>
        <w:t xml:space="preserve">care providers to deliver collaborative and integrated services </w:t>
      </w:r>
    </w:p>
    <w:p w:rsidR="009A3799" w:rsidRPr="00EA7AEA" w:rsidRDefault="009A3799" w:rsidP="00264B71">
      <w:pPr>
        <w:pStyle w:val="ListParagraph"/>
        <w:numPr>
          <w:ilvl w:val="0"/>
          <w:numId w:val="2"/>
        </w:numPr>
        <w:autoSpaceDE w:val="0"/>
        <w:autoSpaceDN w:val="0"/>
        <w:adjustRightInd w:val="0"/>
        <w:jc w:val="both"/>
        <w:rPr>
          <w:rFonts w:cs="Arial"/>
        </w:rPr>
      </w:pPr>
      <w:r w:rsidRPr="00EA7AEA">
        <w:rPr>
          <w:rFonts w:cs="Arial"/>
        </w:rPr>
        <w:t xml:space="preserve">Apply </w:t>
      </w:r>
      <w:r w:rsidR="001F7334" w:rsidRPr="00EA7AEA">
        <w:rPr>
          <w:rFonts w:cs="Arial"/>
        </w:rPr>
        <w:t>robust</w:t>
      </w:r>
      <w:r w:rsidR="00BA7892" w:rsidRPr="00EA7AEA">
        <w:rPr>
          <w:rFonts w:cs="Arial"/>
        </w:rPr>
        <w:t>,</w:t>
      </w:r>
      <w:r w:rsidR="001F7334" w:rsidRPr="00EA7AEA">
        <w:rPr>
          <w:rFonts w:cs="Arial"/>
        </w:rPr>
        <w:t xml:space="preserve"> </w:t>
      </w:r>
      <w:r w:rsidRPr="00EA7AEA">
        <w:rPr>
          <w:rFonts w:cs="Arial"/>
        </w:rPr>
        <w:t>fair and proportionate procurement</w:t>
      </w:r>
      <w:r w:rsidR="001F7334" w:rsidRPr="00EA7AEA">
        <w:rPr>
          <w:rFonts w:cs="Arial"/>
        </w:rPr>
        <w:t xml:space="preserve"> processes that follow all mandated and ‘good practice’ requirements</w:t>
      </w:r>
      <w:r w:rsidR="00BA7892" w:rsidRPr="00EA7AEA">
        <w:rPr>
          <w:rFonts w:cs="Arial"/>
        </w:rPr>
        <w:t>.</w:t>
      </w:r>
    </w:p>
    <w:p w:rsidR="00261EB1" w:rsidRPr="00EA7AEA" w:rsidRDefault="00261EB1" w:rsidP="00264B71">
      <w:pPr>
        <w:pStyle w:val="ListParagraph"/>
        <w:numPr>
          <w:ilvl w:val="0"/>
          <w:numId w:val="2"/>
        </w:numPr>
        <w:autoSpaceDE w:val="0"/>
        <w:autoSpaceDN w:val="0"/>
        <w:adjustRightInd w:val="0"/>
        <w:jc w:val="both"/>
        <w:rPr>
          <w:rFonts w:cs="Arial"/>
        </w:rPr>
      </w:pPr>
      <w:r w:rsidRPr="00EA7AEA">
        <w:rPr>
          <w:rFonts w:cs="Arial"/>
        </w:rPr>
        <w:t>Apply award criteria</w:t>
      </w:r>
      <w:r w:rsidR="00073FE6" w:rsidRPr="00EA7AEA">
        <w:rPr>
          <w:rFonts w:cs="Arial"/>
        </w:rPr>
        <w:t xml:space="preserve"> that takes account of whole lif</w:t>
      </w:r>
      <w:r w:rsidRPr="00EA7AEA">
        <w:rPr>
          <w:rFonts w:cs="Arial"/>
        </w:rPr>
        <w:t>e costs and overall service quality</w:t>
      </w:r>
    </w:p>
    <w:p w:rsidR="001C2535" w:rsidRPr="00EA7AEA" w:rsidRDefault="00BA7892" w:rsidP="00264B71">
      <w:pPr>
        <w:pStyle w:val="ListParagraph"/>
        <w:numPr>
          <w:ilvl w:val="0"/>
          <w:numId w:val="2"/>
        </w:numPr>
        <w:autoSpaceDE w:val="0"/>
        <w:autoSpaceDN w:val="0"/>
        <w:adjustRightInd w:val="0"/>
        <w:jc w:val="both"/>
        <w:rPr>
          <w:rFonts w:cs="Arial"/>
        </w:rPr>
      </w:pPr>
      <w:r w:rsidRPr="00EA7AEA">
        <w:rPr>
          <w:rFonts w:cs="Arial"/>
        </w:rPr>
        <w:t xml:space="preserve">Put in place robust contractual arrangements to ensure service delivery </w:t>
      </w:r>
    </w:p>
    <w:p w:rsidR="00F35EA2" w:rsidRPr="00EA7AEA" w:rsidRDefault="00F35EA2" w:rsidP="00636618">
      <w:pPr>
        <w:autoSpaceDE w:val="0"/>
        <w:autoSpaceDN w:val="0"/>
        <w:adjustRightInd w:val="0"/>
        <w:jc w:val="both"/>
        <w:rPr>
          <w:rFonts w:cs="Arial"/>
        </w:rPr>
      </w:pPr>
    </w:p>
    <w:p w:rsidR="00B60B65" w:rsidRPr="00EA7AEA" w:rsidRDefault="00B60B65" w:rsidP="00636618">
      <w:pPr>
        <w:autoSpaceDE w:val="0"/>
        <w:autoSpaceDN w:val="0"/>
        <w:adjustRightInd w:val="0"/>
        <w:jc w:val="both"/>
        <w:rPr>
          <w:rFonts w:cs="Arial"/>
        </w:rPr>
      </w:pPr>
    </w:p>
    <w:p w:rsidR="007914B2" w:rsidRPr="00EA7AEA" w:rsidRDefault="007914B2" w:rsidP="00636618">
      <w:pPr>
        <w:autoSpaceDE w:val="0"/>
        <w:autoSpaceDN w:val="0"/>
        <w:adjustRightInd w:val="0"/>
        <w:jc w:val="both"/>
        <w:rPr>
          <w:rFonts w:cs="Arial"/>
        </w:rPr>
      </w:pPr>
    </w:p>
    <w:p w:rsidR="00CC4264" w:rsidRPr="00EA7AEA" w:rsidRDefault="00CC4264" w:rsidP="00264B71">
      <w:pPr>
        <w:pStyle w:val="ListParagraph"/>
        <w:numPr>
          <w:ilvl w:val="0"/>
          <w:numId w:val="3"/>
        </w:numPr>
        <w:ind w:left="709" w:hanging="709"/>
        <w:rPr>
          <w:rFonts w:cs="Arial"/>
          <w:u w:val="single"/>
        </w:rPr>
      </w:pPr>
      <w:r w:rsidRPr="00EA7AEA">
        <w:rPr>
          <w:rFonts w:cs="Arial"/>
          <w:u w:val="single"/>
        </w:rPr>
        <w:lastRenderedPageBreak/>
        <w:t>Procurement Policy</w:t>
      </w:r>
      <w:r w:rsidR="007115F7" w:rsidRPr="00EA7AEA">
        <w:rPr>
          <w:rFonts w:cs="Arial"/>
          <w:u w:val="single"/>
        </w:rPr>
        <w:t>:</w:t>
      </w:r>
      <w:r w:rsidRPr="00EA7AEA">
        <w:rPr>
          <w:rFonts w:cs="Arial"/>
          <w:u w:val="single"/>
        </w:rPr>
        <w:t xml:space="preserve"> </w:t>
      </w:r>
    </w:p>
    <w:p w:rsidR="00023D45" w:rsidRPr="00EA7AEA" w:rsidRDefault="00023D45" w:rsidP="00023D45">
      <w:pPr>
        <w:pStyle w:val="ListParagraph"/>
        <w:ind w:left="709"/>
        <w:rPr>
          <w:rFonts w:cs="Arial"/>
        </w:rPr>
      </w:pPr>
    </w:p>
    <w:p w:rsidR="00023D45" w:rsidRPr="00EA7AEA" w:rsidRDefault="005E250A" w:rsidP="006F0A88">
      <w:pPr>
        <w:jc w:val="both"/>
        <w:rPr>
          <w:rFonts w:cs="Arial"/>
        </w:rPr>
      </w:pPr>
      <w:r w:rsidRPr="00EA7AEA">
        <w:rPr>
          <w:rFonts w:cs="Arial"/>
        </w:rPr>
        <w:t xml:space="preserve">In order to achieve its strategic objectives, </w:t>
      </w:r>
      <w:r w:rsidR="00A01E59" w:rsidRPr="00EA7AEA">
        <w:rPr>
          <w:rFonts w:cs="Arial"/>
        </w:rPr>
        <w:t xml:space="preserve">and in accordance with Department of Health guidance, </w:t>
      </w:r>
      <w:r w:rsidRPr="00EA7AEA">
        <w:rPr>
          <w:rFonts w:cs="Arial"/>
        </w:rPr>
        <w:t xml:space="preserve">the </w:t>
      </w:r>
      <w:r w:rsidR="00D4121E" w:rsidRPr="00EA7AEA">
        <w:rPr>
          <w:rFonts w:cs="Arial"/>
        </w:rPr>
        <w:t>G</w:t>
      </w:r>
      <w:r w:rsidRPr="00EA7AEA">
        <w:rPr>
          <w:rFonts w:cs="Arial"/>
        </w:rPr>
        <w:t>CCG must ensure that all procurement activity undertaken is:</w:t>
      </w:r>
    </w:p>
    <w:p w:rsidR="005E250A" w:rsidRPr="00EA7AEA" w:rsidRDefault="005E250A" w:rsidP="006F0A88">
      <w:pPr>
        <w:jc w:val="both"/>
        <w:rPr>
          <w:rFonts w:cs="Arial"/>
        </w:rPr>
      </w:pPr>
    </w:p>
    <w:p w:rsidR="005E250A" w:rsidRPr="00EA7AEA" w:rsidRDefault="005E250A" w:rsidP="00264B71">
      <w:pPr>
        <w:pStyle w:val="ListParagraph"/>
        <w:numPr>
          <w:ilvl w:val="0"/>
          <w:numId w:val="6"/>
        </w:numPr>
        <w:jc w:val="both"/>
        <w:rPr>
          <w:rFonts w:cs="Arial"/>
        </w:rPr>
      </w:pPr>
      <w:r w:rsidRPr="00EA7AEA">
        <w:rPr>
          <w:rFonts w:cs="Arial"/>
        </w:rPr>
        <w:t>Transparent</w:t>
      </w:r>
    </w:p>
    <w:p w:rsidR="005E250A" w:rsidRPr="00EA7AEA" w:rsidRDefault="005E250A" w:rsidP="00264B71">
      <w:pPr>
        <w:pStyle w:val="ListParagraph"/>
        <w:numPr>
          <w:ilvl w:val="0"/>
          <w:numId w:val="6"/>
        </w:numPr>
        <w:jc w:val="both"/>
        <w:rPr>
          <w:rFonts w:cs="Arial"/>
        </w:rPr>
      </w:pPr>
      <w:r w:rsidRPr="00EA7AEA">
        <w:rPr>
          <w:rFonts w:cs="Arial"/>
        </w:rPr>
        <w:t>Proportionate</w:t>
      </w:r>
    </w:p>
    <w:p w:rsidR="005E250A" w:rsidRPr="00EA7AEA" w:rsidRDefault="005E250A" w:rsidP="00264B71">
      <w:pPr>
        <w:pStyle w:val="ListParagraph"/>
        <w:numPr>
          <w:ilvl w:val="0"/>
          <w:numId w:val="6"/>
        </w:numPr>
        <w:jc w:val="both"/>
        <w:rPr>
          <w:rFonts w:cs="Arial"/>
        </w:rPr>
      </w:pPr>
      <w:r w:rsidRPr="00EA7AEA">
        <w:rPr>
          <w:rFonts w:cs="Arial"/>
        </w:rPr>
        <w:t>Non-discriminatory</w:t>
      </w:r>
    </w:p>
    <w:p w:rsidR="005E250A" w:rsidRPr="00EA7AEA" w:rsidRDefault="005E250A" w:rsidP="00264B71">
      <w:pPr>
        <w:pStyle w:val="ListParagraph"/>
        <w:numPr>
          <w:ilvl w:val="0"/>
          <w:numId w:val="6"/>
        </w:numPr>
        <w:jc w:val="both"/>
        <w:rPr>
          <w:rFonts w:cs="Arial"/>
        </w:rPr>
      </w:pPr>
      <w:r w:rsidRPr="00EA7AEA">
        <w:rPr>
          <w:rFonts w:cs="Arial"/>
        </w:rPr>
        <w:t>Equal</w:t>
      </w:r>
      <w:r w:rsidR="006F0A88" w:rsidRPr="00EA7AEA">
        <w:rPr>
          <w:rFonts w:cs="Arial"/>
        </w:rPr>
        <w:t xml:space="preserve"> (equality of treatment)</w:t>
      </w:r>
    </w:p>
    <w:p w:rsidR="00F35EA2" w:rsidRPr="00EA7AEA" w:rsidRDefault="00F35EA2" w:rsidP="006F0A88">
      <w:pPr>
        <w:jc w:val="both"/>
        <w:rPr>
          <w:rFonts w:cs="Arial"/>
        </w:rPr>
      </w:pPr>
    </w:p>
    <w:p w:rsidR="00F35EA2" w:rsidRPr="00EA7AEA" w:rsidRDefault="00D4121E" w:rsidP="006F0A88">
      <w:pPr>
        <w:jc w:val="both"/>
        <w:rPr>
          <w:rFonts w:cs="Arial"/>
        </w:rPr>
      </w:pPr>
      <w:r w:rsidRPr="00EA7AEA">
        <w:rPr>
          <w:rFonts w:cs="Arial"/>
        </w:rPr>
        <w:t>G</w:t>
      </w:r>
      <w:r w:rsidR="00176D23" w:rsidRPr="00EA7AEA">
        <w:rPr>
          <w:rFonts w:cs="Arial"/>
        </w:rPr>
        <w:t xml:space="preserve">CCG procurement staff will work in accordance with </w:t>
      </w:r>
      <w:r w:rsidR="00A01E59" w:rsidRPr="00EA7AEA">
        <w:rPr>
          <w:rFonts w:cs="Arial"/>
        </w:rPr>
        <w:t xml:space="preserve">all </w:t>
      </w:r>
      <w:r w:rsidR="00A17023" w:rsidRPr="00EA7AEA">
        <w:rPr>
          <w:rFonts w:cs="Arial"/>
        </w:rPr>
        <w:t xml:space="preserve">local, </w:t>
      </w:r>
      <w:r w:rsidR="00A01E59" w:rsidRPr="00EA7AEA">
        <w:rPr>
          <w:rFonts w:cs="Arial"/>
        </w:rPr>
        <w:t xml:space="preserve">national and European </w:t>
      </w:r>
      <w:r w:rsidR="00A17023" w:rsidRPr="00EA7AEA">
        <w:rPr>
          <w:rFonts w:cs="Arial"/>
        </w:rPr>
        <w:t xml:space="preserve">Union </w:t>
      </w:r>
      <w:r w:rsidR="00A01E59" w:rsidRPr="00EA7AEA">
        <w:rPr>
          <w:rFonts w:cs="Arial"/>
        </w:rPr>
        <w:t xml:space="preserve">procurement guidelines which will include, but not be limited to, </w:t>
      </w:r>
      <w:r w:rsidR="00176D23" w:rsidRPr="00EA7AEA">
        <w:rPr>
          <w:rFonts w:cs="Arial"/>
        </w:rPr>
        <w:t>the following policy</w:t>
      </w:r>
      <w:r w:rsidR="000A61B1" w:rsidRPr="00EA7AEA">
        <w:rPr>
          <w:rFonts w:cs="Arial"/>
        </w:rPr>
        <w:t xml:space="preserve"> / guidance</w:t>
      </w:r>
      <w:r w:rsidR="00176D23" w:rsidRPr="00EA7AEA">
        <w:rPr>
          <w:rFonts w:cs="Arial"/>
        </w:rPr>
        <w:t xml:space="preserve"> documents:</w:t>
      </w:r>
    </w:p>
    <w:p w:rsidR="00176D23" w:rsidRPr="00EA7AEA" w:rsidRDefault="00176D23" w:rsidP="006F0A88">
      <w:pPr>
        <w:jc w:val="both"/>
        <w:rPr>
          <w:rFonts w:cs="Arial"/>
        </w:rPr>
      </w:pPr>
    </w:p>
    <w:tbl>
      <w:tblPr>
        <w:tblStyle w:val="TableGrid"/>
        <w:tblW w:w="0" w:type="auto"/>
        <w:tblLook w:val="04A0" w:firstRow="1" w:lastRow="0" w:firstColumn="1" w:lastColumn="0" w:noHBand="0" w:noVBand="1"/>
      </w:tblPr>
      <w:tblGrid>
        <w:gridCol w:w="2802"/>
        <w:gridCol w:w="6440"/>
      </w:tblGrid>
      <w:tr w:rsidR="00BE69CE" w:rsidRPr="00EA7AEA" w:rsidTr="00764929">
        <w:tc>
          <w:tcPr>
            <w:tcW w:w="2802" w:type="dxa"/>
            <w:shd w:val="clear" w:color="auto" w:fill="B8CCE4" w:themeFill="accent1" w:themeFillTint="66"/>
          </w:tcPr>
          <w:p w:rsidR="00764929" w:rsidRPr="00EA7AEA" w:rsidRDefault="00764929" w:rsidP="006F0A88">
            <w:pPr>
              <w:jc w:val="both"/>
              <w:rPr>
                <w:rFonts w:cs="Arial"/>
                <w:b/>
                <w:sz w:val="20"/>
                <w:szCs w:val="20"/>
              </w:rPr>
            </w:pPr>
          </w:p>
          <w:p w:rsidR="00764929" w:rsidRPr="00EA7AEA" w:rsidRDefault="00764929" w:rsidP="006F0A88">
            <w:pPr>
              <w:jc w:val="both"/>
              <w:rPr>
                <w:rFonts w:cs="Arial"/>
                <w:b/>
                <w:sz w:val="20"/>
                <w:szCs w:val="20"/>
              </w:rPr>
            </w:pPr>
            <w:r w:rsidRPr="00EA7AEA">
              <w:rPr>
                <w:rFonts w:cs="Arial"/>
                <w:b/>
                <w:sz w:val="20"/>
                <w:szCs w:val="20"/>
              </w:rPr>
              <w:t>Body:</w:t>
            </w:r>
          </w:p>
        </w:tc>
        <w:tc>
          <w:tcPr>
            <w:tcW w:w="6440" w:type="dxa"/>
            <w:shd w:val="clear" w:color="auto" w:fill="B8CCE4" w:themeFill="accent1" w:themeFillTint="66"/>
          </w:tcPr>
          <w:p w:rsidR="00764929" w:rsidRPr="00EA7AEA" w:rsidRDefault="00764929" w:rsidP="006F0A88">
            <w:pPr>
              <w:jc w:val="both"/>
              <w:rPr>
                <w:rFonts w:cs="Arial"/>
                <w:b/>
                <w:sz w:val="20"/>
                <w:szCs w:val="20"/>
              </w:rPr>
            </w:pPr>
          </w:p>
          <w:p w:rsidR="00764929" w:rsidRPr="00EA7AEA" w:rsidRDefault="00764929" w:rsidP="006F0A88">
            <w:pPr>
              <w:jc w:val="both"/>
              <w:rPr>
                <w:rFonts w:cs="Arial"/>
                <w:b/>
                <w:sz w:val="20"/>
                <w:szCs w:val="20"/>
              </w:rPr>
            </w:pPr>
            <w:r w:rsidRPr="00EA7AEA">
              <w:rPr>
                <w:rFonts w:cs="Arial"/>
                <w:b/>
                <w:sz w:val="20"/>
                <w:szCs w:val="20"/>
              </w:rPr>
              <w:t>Publication:</w:t>
            </w:r>
          </w:p>
          <w:p w:rsidR="00764929" w:rsidRPr="00EA7AEA" w:rsidRDefault="00764929" w:rsidP="006F0A88">
            <w:pPr>
              <w:jc w:val="both"/>
              <w:rPr>
                <w:rFonts w:cs="Arial"/>
                <w:b/>
                <w:sz w:val="20"/>
                <w:szCs w:val="20"/>
              </w:rPr>
            </w:pPr>
          </w:p>
        </w:tc>
      </w:tr>
      <w:tr w:rsidR="00BE69CE" w:rsidRPr="00EA7AEA" w:rsidTr="00764929">
        <w:tc>
          <w:tcPr>
            <w:tcW w:w="2802" w:type="dxa"/>
            <w:vMerge w:val="restart"/>
            <w:vAlign w:val="center"/>
          </w:tcPr>
          <w:p w:rsidR="008F2D2A" w:rsidRPr="00EA7AEA" w:rsidRDefault="008F2D2A" w:rsidP="00764929">
            <w:pPr>
              <w:spacing w:before="60" w:after="60"/>
              <w:rPr>
                <w:rFonts w:cs="Arial"/>
                <w:sz w:val="20"/>
                <w:szCs w:val="20"/>
              </w:rPr>
            </w:pPr>
            <w:r w:rsidRPr="00EA7AEA">
              <w:rPr>
                <w:rFonts w:cs="Arial"/>
                <w:sz w:val="20"/>
                <w:szCs w:val="20"/>
              </w:rPr>
              <w:t>Department of Health</w:t>
            </w:r>
          </w:p>
        </w:tc>
        <w:tc>
          <w:tcPr>
            <w:tcW w:w="6440" w:type="dxa"/>
          </w:tcPr>
          <w:p w:rsidR="008F2D2A" w:rsidRPr="00EA7AEA" w:rsidRDefault="008F2D2A" w:rsidP="008F2D2A">
            <w:pPr>
              <w:spacing w:before="60" w:after="60"/>
              <w:jc w:val="both"/>
              <w:rPr>
                <w:rFonts w:cs="Arial"/>
                <w:sz w:val="20"/>
                <w:szCs w:val="20"/>
              </w:rPr>
            </w:pPr>
            <w:r w:rsidRPr="00EA7AEA">
              <w:rPr>
                <w:rFonts w:cs="Arial"/>
                <w:sz w:val="20"/>
                <w:szCs w:val="20"/>
              </w:rPr>
              <w:t>The National Health Service (Procurement, Patient Choice and Competition) (No.2) Regulations 2013</w:t>
            </w:r>
          </w:p>
        </w:tc>
      </w:tr>
      <w:tr w:rsidR="00BE69CE" w:rsidRPr="00EA7AEA" w:rsidTr="00764929">
        <w:tc>
          <w:tcPr>
            <w:tcW w:w="2802" w:type="dxa"/>
            <w:vMerge/>
            <w:vAlign w:val="center"/>
          </w:tcPr>
          <w:p w:rsidR="008F2D2A" w:rsidRPr="00EA7AEA" w:rsidRDefault="008F2D2A" w:rsidP="00764929">
            <w:pPr>
              <w:spacing w:before="60" w:after="60"/>
              <w:rPr>
                <w:rFonts w:cs="Arial"/>
                <w:sz w:val="20"/>
                <w:szCs w:val="20"/>
              </w:rPr>
            </w:pPr>
          </w:p>
        </w:tc>
        <w:tc>
          <w:tcPr>
            <w:tcW w:w="6440" w:type="dxa"/>
          </w:tcPr>
          <w:p w:rsidR="008F2D2A" w:rsidRPr="00EA7AEA" w:rsidRDefault="008F2D2A" w:rsidP="001D2D89">
            <w:pPr>
              <w:spacing w:before="60" w:after="60"/>
              <w:jc w:val="both"/>
              <w:rPr>
                <w:rFonts w:cs="Arial"/>
                <w:sz w:val="20"/>
                <w:szCs w:val="20"/>
              </w:rPr>
            </w:pPr>
            <w:r w:rsidRPr="00EA7AEA">
              <w:rPr>
                <w:rFonts w:cs="Arial"/>
                <w:sz w:val="20"/>
                <w:szCs w:val="20"/>
              </w:rPr>
              <w:t>Any Qualified Provider Operational Guidance (2011)</w:t>
            </w:r>
          </w:p>
        </w:tc>
      </w:tr>
      <w:tr w:rsidR="00BE69CE" w:rsidRPr="00EA7AEA" w:rsidTr="00764929">
        <w:tc>
          <w:tcPr>
            <w:tcW w:w="2802" w:type="dxa"/>
            <w:vMerge/>
          </w:tcPr>
          <w:p w:rsidR="008F2D2A" w:rsidRPr="00EA7AEA" w:rsidRDefault="008F2D2A" w:rsidP="00764929">
            <w:pPr>
              <w:spacing w:before="60" w:after="60"/>
              <w:jc w:val="both"/>
              <w:rPr>
                <w:rFonts w:cs="Arial"/>
                <w:sz w:val="20"/>
                <w:szCs w:val="20"/>
              </w:rPr>
            </w:pPr>
          </w:p>
        </w:tc>
        <w:tc>
          <w:tcPr>
            <w:tcW w:w="6440" w:type="dxa"/>
          </w:tcPr>
          <w:p w:rsidR="008F2D2A" w:rsidRPr="00EA7AEA" w:rsidRDefault="008F2D2A" w:rsidP="00500416">
            <w:pPr>
              <w:spacing w:before="60" w:after="60"/>
              <w:jc w:val="both"/>
              <w:rPr>
                <w:rFonts w:cs="Arial"/>
                <w:sz w:val="20"/>
                <w:szCs w:val="20"/>
              </w:rPr>
            </w:pPr>
            <w:r w:rsidRPr="00EA7AEA">
              <w:rPr>
                <w:rFonts w:cs="Arial"/>
                <w:sz w:val="20"/>
                <w:szCs w:val="20"/>
              </w:rPr>
              <w:t xml:space="preserve">Patient Choice </w:t>
            </w:r>
            <w:r w:rsidR="00500416" w:rsidRPr="00EA7AEA">
              <w:rPr>
                <w:rFonts w:cs="Arial"/>
                <w:sz w:val="20"/>
                <w:szCs w:val="20"/>
              </w:rPr>
              <w:t>(</w:t>
            </w:r>
            <w:r w:rsidRPr="00EA7AEA">
              <w:rPr>
                <w:rFonts w:cs="Arial"/>
                <w:sz w:val="20"/>
                <w:szCs w:val="20"/>
              </w:rPr>
              <w:t>Nov 2011)</w:t>
            </w:r>
          </w:p>
        </w:tc>
      </w:tr>
      <w:tr w:rsidR="00BE69CE" w:rsidRPr="00EA7AEA" w:rsidTr="00764929">
        <w:tc>
          <w:tcPr>
            <w:tcW w:w="2802" w:type="dxa"/>
            <w:vMerge/>
          </w:tcPr>
          <w:p w:rsidR="008F2D2A" w:rsidRPr="00EA7AEA" w:rsidRDefault="008F2D2A" w:rsidP="00764929">
            <w:pPr>
              <w:spacing w:before="60" w:after="60"/>
              <w:jc w:val="both"/>
              <w:rPr>
                <w:rFonts w:cs="Arial"/>
                <w:sz w:val="20"/>
                <w:szCs w:val="20"/>
              </w:rPr>
            </w:pPr>
          </w:p>
        </w:tc>
        <w:tc>
          <w:tcPr>
            <w:tcW w:w="6440" w:type="dxa"/>
          </w:tcPr>
          <w:p w:rsidR="008F2D2A" w:rsidRPr="00EA7AEA" w:rsidRDefault="008F2D2A" w:rsidP="001D2D89">
            <w:pPr>
              <w:spacing w:before="60" w:after="60"/>
              <w:jc w:val="both"/>
              <w:rPr>
                <w:rFonts w:cs="Arial"/>
                <w:sz w:val="20"/>
                <w:szCs w:val="20"/>
              </w:rPr>
            </w:pPr>
            <w:r w:rsidRPr="00EA7AEA">
              <w:rPr>
                <w:rFonts w:cs="Arial"/>
                <w:sz w:val="20"/>
                <w:szCs w:val="20"/>
              </w:rPr>
              <w:t>Principles and Rules for Cooperation and Competition (Jul 2010)</w:t>
            </w:r>
          </w:p>
        </w:tc>
      </w:tr>
      <w:tr w:rsidR="00BE69CE" w:rsidRPr="00EA7AEA" w:rsidTr="00764929">
        <w:tc>
          <w:tcPr>
            <w:tcW w:w="2802" w:type="dxa"/>
            <w:vMerge/>
          </w:tcPr>
          <w:p w:rsidR="008F2D2A" w:rsidRPr="00EA7AEA" w:rsidRDefault="008F2D2A" w:rsidP="00764929">
            <w:pPr>
              <w:spacing w:before="60" w:after="60"/>
              <w:jc w:val="both"/>
              <w:rPr>
                <w:rFonts w:cs="Arial"/>
                <w:sz w:val="20"/>
                <w:szCs w:val="20"/>
              </w:rPr>
            </w:pPr>
          </w:p>
        </w:tc>
        <w:tc>
          <w:tcPr>
            <w:tcW w:w="6440" w:type="dxa"/>
          </w:tcPr>
          <w:p w:rsidR="008F2D2A" w:rsidRPr="00EA7AEA" w:rsidRDefault="008F2D2A" w:rsidP="001D2D89">
            <w:pPr>
              <w:spacing w:before="60" w:after="60"/>
              <w:jc w:val="both"/>
              <w:rPr>
                <w:rFonts w:cs="Arial"/>
                <w:sz w:val="20"/>
                <w:szCs w:val="20"/>
              </w:rPr>
            </w:pPr>
            <w:r w:rsidRPr="00EA7AEA">
              <w:rPr>
                <w:rFonts w:cs="Arial"/>
                <w:sz w:val="20"/>
                <w:szCs w:val="20"/>
              </w:rPr>
              <w:t>Procurement Guide for Commissioners of NHS-funded Services (Jul 2010)</w:t>
            </w:r>
          </w:p>
        </w:tc>
      </w:tr>
      <w:tr w:rsidR="00BE69CE" w:rsidRPr="00EA7AEA" w:rsidTr="00764929">
        <w:tc>
          <w:tcPr>
            <w:tcW w:w="2802" w:type="dxa"/>
            <w:vMerge/>
          </w:tcPr>
          <w:p w:rsidR="008F2D2A" w:rsidRPr="00EA7AEA" w:rsidRDefault="008F2D2A" w:rsidP="00764929">
            <w:pPr>
              <w:spacing w:before="60" w:after="60"/>
              <w:jc w:val="both"/>
              <w:rPr>
                <w:rFonts w:cs="Arial"/>
                <w:sz w:val="20"/>
                <w:szCs w:val="20"/>
              </w:rPr>
            </w:pPr>
          </w:p>
        </w:tc>
        <w:tc>
          <w:tcPr>
            <w:tcW w:w="6440" w:type="dxa"/>
          </w:tcPr>
          <w:p w:rsidR="008F2D2A" w:rsidRPr="00EA7AEA" w:rsidRDefault="008F2D2A" w:rsidP="001D2D89">
            <w:pPr>
              <w:spacing w:before="60" w:after="60"/>
              <w:jc w:val="both"/>
              <w:rPr>
                <w:rFonts w:cs="Arial"/>
                <w:sz w:val="20"/>
                <w:szCs w:val="20"/>
              </w:rPr>
            </w:pPr>
            <w:r w:rsidRPr="00EA7AEA">
              <w:rPr>
                <w:rFonts w:cs="Arial"/>
                <w:sz w:val="20"/>
                <w:szCs w:val="20"/>
              </w:rPr>
              <w:t>Securing Best Value for NHS Patients (Aug 2012)</w:t>
            </w:r>
          </w:p>
        </w:tc>
      </w:tr>
      <w:tr w:rsidR="00BE69CE" w:rsidRPr="00EA7AEA" w:rsidTr="00764929">
        <w:tc>
          <w:tcPr>
            <w:tcW w:w="2802" w:type="dxa"/>
            <w:vMerge/>
          </w:tcPr>
          <w:p w:rsidR="008F2D2A" w:rsidRPr="00EA7AEA" w:rsidRDefault="008F2D2A" w:rsidP="00764929">
            <w:pPr>
              <w:spacing w:before="60" w:after="60"/>
              <w:jc w:val="both"/>
              <w:rPr>
                <w:rFonts w:cs="Arial"/>
                <w:sz w:val="20"/>
                <w:szCs w:val="20"/>
              </w:rPr>
            </w:pPr>
          </w:p>
        </w:tc>
        <w:tc>
          <w:tcPr>
            <w:tcW w:w="6440" w:type="dxa"/>
          </w:tcPr>
          <w:p w:rsidR="008F2D2A" w:rsidRPr="00EA7AEA" w:rsidRDefault="008F2D2A" w:rsidP="001D2D89">
            <w:pPr>
              <w:spacing w:before="60" w:after="60"/>
              <w:jc w:val="both"/>
              <w:rPr>
                <w:rFonts w:cs="Arial"/>
                <w:sz w:val="20"/>
                <w:szCs w:val="20"/>
              </w:rPr>
            </w:pPr>
            <w:r w:rsidRPr="00EA7AEA">
              <w:rPr>
                <w:rFonts w:cs="Arial"/>
                <w:sz w:val="20"/>
                <w:szCs w:val="20"/>
              </w:rPr>
              <w:t>The Operating Framework (Annual)</w:t>
            </w:r>
          </w:p>
        </w:tc>
      </w:tr>
      <w:tr w:rsidR="00BE69CE" w:rsidRPr="00EA7AEA" w:rsidTr="00764929">
        <w:tc>
          <w:tcPr>
            <w:tcW w:w="2802" w:type="dxa"/>
            <w:vMerge w:val="restart"/>
          </w:tcPr>
          <w:p w:rsidR="00AD2DBE" w:rsidRPr="00EA7AEA" w:rsidRDefault="00AD2DBE" w:rsidP="00764929">
            <w:pPr>
              <w:spacing w:before="60" w:after="60"/>
              <w:jc w:val="both"/>
              <w:rPr>
                <w:rFonts w:cs="Arial"/>
                <w:sz w:val="20"/>
                <w:szCs w:val="20"/>
              </w:rPr>
            </w:pPr>
            <w:r w:rsidRPr="00EA7AEA">
              <w:rPr>
                <w:rFonts w:cs="Arial"/>
                <w:sz w:val="20"/>
                <w:szCs w:val="20"/>
              </w:rPr>
              <w:t>European Union</w:t>
            </w:r>
          </w:p>
        </w:tc>
        <w:tc>
          <w:tcPr>
            <w:tcW w:w="6440" w:type="dxa"/>
          </w:tcPr>
          <w:p w:rsidR="00AD2DBE" w:rsidRPr="00EA7AEA" w:rsidRDefault="00AD2DBE" w:rsidP="00AD2DBE">
            <w:pPr>
              <w:spacing w:before="60" w:after="60"/>
              <w:jc w:val="both"/>
              <w:rPr>
                <w:rFonts w:cs="Arial"/>
                <w:sz w:val="20"/>
                <w:szCs w:val="20"/>
              </w:rPr>
            </w:pPr>
            <w:r w:rsidRPr="00EA7AEA">
              <w:rPr>
                <w:rFonts w:cs="Arial"/>
                <w:sz w:val="20"/>
                <w:szCs w:val="20"/>
              </w:rPr>
              <w:t>EU Public Procurement Regulations 2006 (and any subsequent amendments to legislation as enacted from time to time)</w:t>
            </w:r>
          </w:p>
        </w:tc>
      </w:tr>
      <w:tr w:rsidR="00BE69CE" w:rsidRPr="00EA7AEA" w:rsidTr="00764929">
        <w:tc>
          <w:tcPr>
            <w:tcW w:w="2802" w:type="dxa"/>
            <w:vMerge/>
          </w:tcPr>
          <w:p w:rsidR="00AD2DBE" w:rsidRPr="00EA7AEA" w:rsidRDefault="00AD2DBE" w:rsidP="00764929">
            <w:pPr>
              <w:spacing w:before="60" w:after="60"/>
              <w:jc w:val="both"/>
              <w:rPr>
                <w:rFonts w:cs="Arial"/>
                <w:sz w:val="20"/>
                <w:szCs w:val="20"/>
              </w:rPr>
            </w:pPr>
          </w:p>
        </w:tc>
        <w:tc>
          <w:tcPr>
            <w:tcW w:w="6440" w:type="dxa"/>
          </w:tcPr>
          <w:p w:rsidR="00AD2DBE" w:rsidRPr="00EA7AEA" w:rsidRDefault="00AD2DBE" w:rsidP="00AD2DBE">
            <w:pPr>
              <w:spacing w:before="60" w:after="60"/>
              <w:jc w:val="both"/>
              <w:rPr>
                <w:rFonts w:cs="Arial"/>
                <w:sz w:val="20"/>
                <w:szCs w:val="20"/>
              </w:rPr>
            </w:pPr>
            <w:r w:rsidRPr="00EA7AEA">
              <w:rPr>
                <w:rFonts w:cs="Arial"/>
                <w:sz w:val="20"/>
                <w:szCs w:val="20"/>
              </w:rPr>
              <w:t>EU Remedies Directive (20 Dec 2009)</w:t>
            </w:r>
          </w:p>
        </w:tc>
      </w:tr>
      <w:tr w:rsidR="00BE69CE" w:rsidRPr="00EA7AEA" w:rsidTr="00764929">
        <w:tc>
          <w:tcPr>
            <w:tcW w:w="2802" w:type="dxa"/>
            <w:vAlign w:val="center"/>
          </w:tcPr>
          <w:p w:rsidR="006F0A88" w:rsidRPr="00EA7AEA" w:rsidRDefault="006F0A88" w:rsidP="00764929">
            <w:pPr>
              <w:spacing w:before="60" w:after="60"/>
              <w:rPr>
                <w:rFonts w:cs="Arial"/>
                <w:sz w:val="20"/>
                <w:szCs w:val="20"/>
              </w:rPr>
            </w:pPr>
            <w:r w:rsidRPr="00EA7AEA">
              <w:rPr>
                <w:rFonts w:cs="Arial"/>
                <w:sz w:val="20"/>
                <w:szCs w:val="20"/>
              </w:rPr>
              <w:t>NHS Commissioning Board</w:t>
            </w:r>
          </w:p>
        </w:tc>
        <w:tc>
          <w:tcPr>
            <w:tcW w:w="6440" w:type="dxa"/>
          </w:tcPr>
          <w:p w:rsidR="00764929" w:rsidRPr="00EA7AEA" w:rsidRDefault="006F0A88" w:rsidP="00764929">
            <w:pPr>
              <w:spacing w:before="60" w:after="60"/>
              <w:jc w:val="both"/>
              <w:rPr>
                <w:rFonts w:cs="Arial"/>
                <w:sz w:val="20"/>
                <w:szCs w:val="20"/>
              </w:rPr>
            </w:pPr>
            <w:r w:rsidRPr="00EA7AEA">
              <w:rPr>
                <w:rFonts w:cs="Arial"/>
                <w:sz w:val="20"/>
                <w:szCs w:val="20"/>
              </w:rPr>
              <w:t xml:space="preserve">Code of Conduct – Managing conflicts of interest where GP practices are potential providers of </w:t>
            </w:r>
            <w:r w:rsidR="00687B58" w:rsidRPr="00EA7AEA">
              <w:rPr>
                <w:rFonts w:cs="Arial"/>
                <w:sz w:val="20"/>
                <w:szCs w:val="20"/>
              </w:rPr>
              <w:t>G</w:t>
            </w:r>
            <w:r w:rsidRPr="00EA7AEA">
              <w:rPr>
                <w:rFonts w:cs="Arial"/>
                <w:sz w:val="20"/>
                <w:szCs w:val="20"/>
              </w:rPr>
              <w:t>CCG commissioned services</w:t>
            </w:r>
            <w:r w:rsidR="001D2D89" w:rsidRPr="00EA7AEA">
              <w:rPr>
                <w:rFonts w:cs="Arial"/>
                <w:sz w:val="20"/>
                <w:szCs w:val="20"/>
              </w:rPr>
              <w:t xml:space="preserve"> (Oct 2012)</w:t>
            </w:r>
          </w:p>
        </w:tc>
      </w:tr>
      <w:tr w:rsidR="00BE69CE" w:rsidRPr="00EA7AEA" w:rsidTr="00764929">
        <w:tc>
          <w:tcPr>
            <w:tcW w:w="2802" w:type="dxa"/>
            <w:vMerge w:val="restart"/>
            <w:vAlign w:val="center"/>
          </w:tcPr>
          <w:p w:rsidR="00A82C84" w:rsidRPr="00EA7AEA" w:rsidRDefault="00A82C84" w:rsidP="00764929">
            <w:pPr>
              <w:spacing w:before="60" w:after="60"/>
              <w:rPr>
                <w:rFonts w:cs="Arial"/>
                <w:sz w:val="20"/>
                <w:szCs w:val="20"/>
              </w:rPr>
            </w:pPr>
            <w:r w:rsidRPr="00EA7AEA">
              <w:rPr>
                <w:rFonts w:cs="Arial"/>
                <w:sz w:val="20"/>
                <w:szCs w:val="20"/>
              </w:rPr>
              <w:t>NHS Gloucestershire Clinical Commissioning Group</w:t>
            </w:r>
          </w:p>
        </w:tc>
        <w:tc>
          <w:tcPr>
            <w:tcW w:w="6440" w:type="dxa"/>
          </w:tcPr>
          <w:p w:rsidR="00A82C84" w:rsidRPr="00EA7AEA" w:rsidRDefault="00A82C84" w:rsidP="00764929">
            <w:pPr>
              <w:spacing w:before="60" w:after="60"/>
              <w:jc w:val="both"/>
              <w:rPr>
                <w:rFonts w:cs="Arial"/>
                <w:sz w:val="20"/>
                <w:szCs w:val="20"/>
              </w:rPr>
            </w:pPr>
            <w:r w:rsidRPr="00EA7AEA">
              <w:rPr>
                <w:rFonts w:cs="Arial"/>
                <w:sz w:val="20"/>
                <w:szCs w:val="20"/>
              </w:rPr>
              <w:t>Equality strategy</w:t>
            </w:r>
          </w:p>
        </w:tc>
      </w:tr>
      <w:tr w:rsidR="00BE69CE" w:rsidRPr="00EA7AEA" w:rsidTr="00764929">
        <w:tc>
          <w:tcPr>
            <w:tcW w:w="2802" w:type="dxa"/>
            <w:vMerge/>
          </w:tcPr>
          <w:p w:rsidR="00A82C84" w:rsidRPr="00EA7AEA" w:rsidRDefault="00A82C84" w:rsidP="00764929">
            <w:pPr>
              <w:spacing w:before="60" w:after="60"/>
              <w:jc w:val="both"/>
              <w:rPr>
                <w:rFonts w:cs="Arial"/>
                <w:sz w:val="20"/>
                <w:szCs w:val="20"/>
              </w:rPr>
            </w:pPr>
          </w:p>
        </w:tc>
        <w:tc>
          <w:tcPr>
            <w:tcW w:w="6440" w:type="dxa"/>
          </w:tcPr>
          <w:p w:rsidR="00A82C84" w:rsidRPr="00EA7AEA" w:rsidRDefault="00A82C84" w:rsidP="00764929">
            <w:pPr>
              <w:spacing w:before="60" w:after="60"/>
              <w:jc w:val="both"/>
              <w:rPr>
                <w:rFonts w:cs="Arial"/>
                <w:sz w:val="20"/>
                <w:szCs w:val="20"/>
              </w:rPr>
            </w:pPr>
            <w:r w:rsidRPr="00EA7AEA">
              <w:rPr>
                <w:rFonts w:cs="Arial"/>
                <w:sz w:val="20"/>
                <w:szCs w:val="20"/>
              </w:rPr>
              <w:t>Gloucestershire Joint Health and Wellbeing Strategy</w:t>
            </w:r>
          </w:p>
        </w:tc>
      </w:tr>
      <w:tr w:rsidR="00BE69CE" w:rsidRPr="00EA7AEA" w:rsidTr="00764929">
        <w:tc>
          <w:tcPr>
            <w:tcW w:w="2802" w:type="dxa"/>
            <w:vMerge/>
          </w:tcPr>
          <w:p w:rsidR="00A82C84" w:rsidRPr="00EA7AEA" w:rsidRDefault="00A82C84" w:rsidP="00764929">
            <w:pPr>
              <w:spacing w:before="60" w:after="60"/>
              <w:jc w:val="both"/>
              <w:rPr>
                <w:rFonts w:cs="Arial"/>
                <w:sz w:val="20"/>
                <w:szCs w:val="20"/>
              </w:rPr>
            </w:pPr>
          </w:p>
        </w:tc>
        <w:tc>
          <w:tcPr>
            <w:tcW w:w="6440" w:type="dxa"/>
          </w:tcPr>
          <w:p w:rsidR="00A82C84" w:rsidRPr="00EA7AEA" w:rsidRDefault="00A82C84" w:rsidP="00764929">
            <w:pPr>
              <w:spacing w:before="60" w:after="60"/>
              <w:jc w:val="both"/>
              <w:rPr>
                <w:rFonts w:cs="Arial"/>
                <w:sz w:val="20"/>
                <w:szCs w:val="20"/>
              </w:rPr>
            </w:pPr>
            <w:r w:rsidRPr="00EA7AEA">
              <w:rPr>
                <w:rFonts w:cs="Arial"/>
                <w:sz w:val="20"/>
                <w:szCs w:val="20"/>
              </w:rPr>
              <w:t>Integrated Annual Operating Plan</w:t>
            </w:r>
          </w:p>
        </w:tc>
      </w:tr>
      <w:tr w:rsidR="00BE69CE" w:rsidRPr="00EA7AEA" w:rsidTr="00764929">
        <w:tc>
          <w:tcPr>
            <w:tcW w:w="2802" w:type="dxa"/>
            <w:vMerge/>
          </w:tcPr>
          <w:p w:rsidR="00A82C84" w:rsidRPr="00EA7AEA" w:rsidRDefault="00A82C84" w:rsidP="00764929">
            <w:pPr>
              <w:spacing w:before="60" w:after="60"/>
              <w:jc w:val="both"/>
              <w:rPr>
                <w:rFonts w:cs="Arial"/>
                <w:sz w:val="20"/>
                <w:szCs w:val="20"/>
              </w:rPr>
            </w:pPr>
          </w:p>
        </w:tc>
        <w:tc>
          <w:tcPr>
            <w:tcW w:w="6440" w:type="dxa"/>
          </w:tcPr>
          <w:p w:rsidR="00A82C84" w:rsidRPr="00EA7AEA" w:rsidRDefault="00A82C84" w:rsidP="00764929">
            <w:pPr>
              <w:spacing w:before="60" w:after="60"/>
              <w:jc w:val="both"/>
              <w:rPr>
                <w:rFonts w:cs="Arial"/>
                <w:sz w:val="20"/>
                <w:szCs w:val="20"/>
              </w:rPr>
            </w:pPr>
            <w:r w:rsidRPr="00EA7AEA">
              <w:rPr>
                <w:rFonts w:cs="Arial"/>
                <w:sz w:val="20"/>
                <w:szCs w:val="20"/>
              </w:rPr>
              <w:t>Quality Strategy</w:t>
            </w:r>
          </w:p>
        </w:tc>
      </w:tr>
      <w:tr w:rsidR="00BE69CE" w:rsidRPr="00EA7AEA" w:rsidTr="00764929">
        <w:tc>
          <w:tcPr>
            <w:tcW w:w="2802" w:type="dxa"/>
            <w:vMerge/>
          </w:tcPr>
          <w:p w:rsidR="00A82C84" w:rsidRPr="00EA7AEA" w:rsidRDefault="00A82C84" w:rsidP="00764929">
            <w:pPr>
              <w:spacing w:before="60" w:after="60"/>
              <w:jc w:val="both"/>
              <w:rPr>
                <w:rFonts w:cs="Arial"/>
                <w:sz w:val="20"/>
                <w:szCs w:val="20"/>
              </w:rPr>
            </w:pPr>
          </w:p>
        </w:tc>
        <w:tc>
          <w:tcPr>
            <w:tcW w:w="6440" w:type="dxa"/>
          </w:tcPr>
          <w:p w:rsidR="00A82C84" w:rsidRPr="00EA7AEA" w:rsidRDefault="00A82C84" w:rsidP="00764929">
            <w:pPr>
              <w:spacing w:before="60" w:after="60"/>
              <w:jc w:val="both"/>
              <w:rPr>
                <w:rFonts w:cs="Arial"/>
                <w:sz w:val="20"/>
                <w:szCs w:val="20"/>
              </w:rPr>
            </w:pPr>
            <w:r w:rsidRPr="00EA7AEA">
              <w:rPr>
                <w:rFonts w:cs="Arial"/>
                <w:sz w:val="20"/>
                <w:szCs w:val="20"/>
              </w:rPr>
              <w:t>Standing Orders and Standing Financial Instructions</w:t>
            </w:r>
          </w:p>
        </w:tc>
      </w:tr>
      <w:tr w:rsidR="00BE69CE" w:rsidRPr="00EA7AEA" w:rsidTr="00764929">
        <w:tc>
          <w:tcPr>
            <w:tcW w:w="2802" w:type="dxa"/>
            <w:vMerge/>
          </w:tcPr>
          <w:p w:rsidR="00A82C84" w:rsidRPr="00EA7AEA" w:rsidRDefault="00A82C84" w:rsidP="00764929">
            <w:pPr>
              <w:spacing w:before="60" w:after="60"/>
              <w:jc w:val="both"/>
              <w:rPr>
                <w:rFonts w:cs="Arial"/>
                <w:sz w:val="20"/>
                <w:szCs w:val="20"/>
              </w:rPr>
            </w:pPr>
          </w:p>
        </w:tc>
        <w:tc>
          <w:tcPr>
            <w:tcW w:w="6440" w:type="dxa"/>
          </w:tcPr>
          <w:p w:rsidR="00A82C84" w:rsidRPr="00EA7AEA" w:rsidRDefault="00A82C84" w:rsidP="00764929">
            <w:pPr>
              <w:spacing w:before="60" w:after="60"/>
              <w:jc w:val="both"/>
              <w:rPr>
                <w:rFonts w:cs="Arial"/>
                <w:sz w:val="20"/>
                <w:szCs w:val="20"/>
              </w:rPr>
            </w:pPr>
            <w:r w:rsidRPr="00EA7AEA">
              <w:rPr>
                <w:rFonts w:cs="Arial"/>
                <w:sz w:val="20"/>
                <w:szCs w:val="20"/>
              </w:rPr>
              <w:t>Strategic Commissioning Intentions</w:t>
            </w:r>
          </w:p>
        </w:tc>
      </w:tr>
      <w:tr w:rsidR="00BE69CE" w:rsidRPr="00EA7AEA" w:rsidTr="00764929">
        <w:tc>
          <w:tcPr>
            <w:tcW w:w="2802" w:type="dxa"/>
            <w:vMerge/>
          </w:tcPr>
          <w:p w:rsidR="00A82C84" w:rsidRPr="00EA7AEA" w:rsidRDefault="00A82C84" w:rsidP="00764929">
            <w:pPr>
              <w:spacing w:before="60" w:after="60"/>
              <w:jc w:val="both"/>
              <w:rPr>
                <w:rFonts w:cs="Arial"/>
                <w:sz w:val="20"/>
                <w:szCs w:val="20"/>
              </w:rPr>
            </w:pPr>
          </w:p>
        </w:tc>
        <w:tc>
          <w:tcPr>
            <w:tcW w:w="6440" w:type="dxa"/>
          </w:tcPr>
          <w:p w:rsidR="00A82C84" w:rsidRPr="00EA7AEA" w:rsidRDefault="00A82C84" w:rsidP="00764929">
            <w:pPr>
              <w:spacing w:before="60" w:after="60"/>
              <w:jc w:val="both"/>
              <w:rPr>
                <w:rFonts w:cs="Arial"/>
                <w:sz w:val="20"/>
                <w:szCs w:val="20"/>
              </w:rPr>
            </w:pPr>
            <w:r w:rsidRPr="00EA7AEA">
              <w:rPr>
                <w:rFonts w:cs="Arial"/>
                <w:sz w:val="20"/>
                <w:szCs w:val="20"/>
              </w:rPr>
              <w:t>Gloucestershire Clinical Commissioning Group Constitution</w:t>
            </w:r>
          </w:p>
        </w:tc>
      </w:tr>
      <w:tr w:rsidR="00AD2DBE" w:rsidRPr="00EA7AEA" w:rsidTr="00764929">
        <w:tc>
          <w:tcPr>
            <w:tcW w:w="2802" w:type="dxa"/>
          </w:tcPr>
          <w:p w:rsidR="00AD2DBE" w:rsidRPr="00EA7AEA" w:rsidRDefault="00AD2DBE" w:rsidP="00764929">
            <w:pPr>
              <w:spacing w:before="60" w:after="60"/>
              <w:jc w:val="both"/>
              <w:rPr>
                <w:rFonts w:cs="Arial"/>
                <w:sz w:val="20"/>
                <w:szCs w:val="20"/>
              </w:rPr>
            </w:pPr>
            <w:r w:rsidRPr="00EA7AEA">
              <w:rPr>
                <w:rFonts w:cs="Arial"/>
                <w:sz w:val="20"/>
                <w:szCs w:val="20"/>
              </w:rPr>
              <w:t>UK Government</w:t>
            </w:r>
          </w:p>
        </w:tc>
        <w:tc>
          <w:tcPr>
            <w:tcW w:w="6440" w:type="dxa"/>
          </w:tcPr>
          <w:p w:rsidR="00AD2DBE" w:rsidRPr="00EA7AEA" w:rsidRDefault="00AD2DBE" w:rsidP="00764929">
            <w:pPr>
              <w:spacing w:before="60" w:after="60"/>
              <w:jc w:val="both"/>
              <w:rPr>
                <w:rFonts w:cs="Arial"/>
                <w:sz w:val="20"/>
                <w:szCs w:val="20"/>
              </w:rPr>
            </w:pPr>
            <w:r w:rsidRPr="00EA7AEA">
              <w:rPr>
                <w:rFonts w:cs="Arial"/>
                <w:sz w:val="20"/>
                <w:szCs w:val="20"/>
              </w:rPr>
              <w:t>Social Value Act (2012)</w:t>
            </w:r>
          </w:p>
        </w:tc>
      </w:tr>
    </w:tbl>
    <w:p w:rsidR="006F0A88" w:rsidRPr="00EA7AEA" w:rsidRDefault="006F0A88" w:rsidP="006F0A88">
      <w:pPr>
        <w:jc w:val="both"/>
        <w:rPr>
          <w:rFonts w:cs="Arial"/>
        </w:rPr>
      </w:pPr>
    </w:p>
    <w:p w:rsidR="00176D23" w:rsidRPr="00EA7AEA" w:rsidRDefault="00176D23" w:rsidP="006F0A88">
      <w:pPr>
        <w:jc w:val="both"/>
        <w:rPr>
          <w:rFonts w:cs="Arial"/>
        </w:rPr>
      </w:pPr>
    </w:p>
    <w:p w:rsidR="007D43F2" w:rsidRPr="00EA7AEA" w:rsidRDefault="00344C0A" w:rsidP="006F0A88">
      <w:pPr>
        <w:autoSpaceDE w:val="0"/>
        <w:autoSpaceDN w:val="0"/>
        <w:adjustRightInd w:val="0"/>
        <w:jc w:val="both"/>
        <w:rPr>
          <w:rFonts w:cs="Arial"/>
        </w:rPr>
      </w:pPr>
      <w:r w:rsidRPr="00EA7AEA">
        <w:rPr>
          <w:rFonts w:cs="Arial"/>
        </w:rPr>
        <w:t>New</w:t>
      </w:r>
      <w:r w:rsidR="007D43F2" w:rsidRPr="00EA7AEA">
        <w:rPr>
          <w:rFonts w:cs="Arial"/>
        </w:rPr>
        <w:t xml:space="preserve"> national guidance does not introduce any general policy requirement that all NHS services should be subject to competitive tendering. The policy is to create an NHS that is much more responsive to patients and achieves better quality outcomes. A step to achieving this is to increase the current offer of choice, giving patient’s choice of </w:t>
      </w:r>
      <w:r w:rsidR="00F95E34" w:rsidRPr="00EA7AEA">
        <w:rPr>
          <w:rFonts w:cs="Arial"/>
        </w:rPr>
        <w:t>Any Q</w:t>
      </w:r>
      <w:r w:rsidR="007D43F2" w:rsidRPr="00EA7AEA">
        <w:rPr>
          <w:rFonts w:cs="Arial"/>
        </w:rPr>
        <w:t xml:space="preserve">ualified </w:t>
      </w:r>
      <w:r w:rsidR="00F95E34" w:rsidRPr="00EA7AEA">
        <w:rPr>
          <w:rFonts w:cs="Arial"/>
        </w:rPr>
        <w:t>P</w:t>
      </w:r>
      <w:r w:rsidR="007D43F2" w:rsidRPr="00EA7AEA">
        <w:rPr>
          <w:rFonts w:cs="Arial"/>
        </w:rPr>
        <w:t>rovider where relevant.</w:t>
      </w:r>
    </w:p>
    <w:p w:rsidR="00526EA6" w:rsidRPr="00EA7AEA" w:rsidRDefault="00526EA6" w:rsidP="006F0A88">
      <w:pPr>
        <w:autoSpaceDE w:val="0"/>
        <w:autoSpaceDN w:val="0"/>
        <w:adjustRightInd w:val="0"/>
        <w:jc w:val="both"/>
        <w:rPr>
          <w:rFonts w:cs="Arial"/>
        </w:rPr>
      </w:pPr>
    </w:p>
    <w:p w:rsidR="00344C0A" w:rsidRPr="00EA7AEA" w:rsidRDefault="00344C0A" w:rsidP="006F0A88">
      <w:pPr>
        <w:autoSpaceDE w:val="0"/>
        <w:autoSpaceDN w:val="0"/>
        <w:adjustRightInd w:val="0"/>
        <w:jc w:val="both"/>
        <w:rPr>
          <w:rFonts w:cs="Arial"/>
        </w:rPr>
      </w:pPr>
    </w:p>
    <w:p w:rsidR="00344C0A" w:rsidRPr="00EA7AEA" w:rsidRDefault="00EB65FF" w:rsidP="006F0A88">
      <w:pPr>
        <w:autoSpaceDE w:val="0"/>
        <w:autoSpaceDN w:val="0"/>
        <w:adjustRightInd w:val="0"/>
        <w:jc w:val="both"/>
        <w:rPr>
          <w:rFonts w:cs="Arial"/>
        </w:rPr>
      </w:pPr>
      <w:r w:rsidRPr="00EA7AEA">
        <w:rPr>
          <w:rFonts w:cs="Arial"/>
        </w:rPr>
        <w:lastRenderedPageBreak/>
        <w:t>T</w:t>
      </w:r>
      <w:r w:rsidR="00344C0A" w:rsidRPr="00EA7AEA">
        <w:rPr>
          <w:rFonts w:cs="Arial"/>
        </w:rPr>
        <w:t>he Procurement, Patient Choice and Competition Regulations 2013 were re-drafted and put before Parliament on 11 March 2013 and state:</w:t>
      </w:r>
    </w:p>
    <w:p w:rsidR="00344C0A" w:rsidRPr="00EA7AEA" w:rsidRDefault="00344C0A" w:rsidP="006F0A88">
      <w:pPr>
        <w:autoSpaceDE w:val="0"/>
        <w:autoSpaceDN w:val="0"/>
        <w:adjustRightInd w:val="0"/>
        <w:jc w:val="both"/>
        <w:rPr>
          <w:rFonts w:cs="Arial"/>
        </w:rPr>
      </w:pPr>
    </w:p>
    <w:p w:rsidR="00344C0A" w:rsidRPr="00EA7AEA" w:rsidRDefault="00344C0A" w:rsidP="00264B71">
      <w:pPr>
        <w:pStyle w:val="ListParagraph"/>
        <w:numPr>
          <w:ilvl w:val="0"/>
          <w:numId w:val="58"/>
        </w:numPr>
        <w:autoSpaceDE w:val="0"/>
        <w:autoSpaceDN w:val="0"/>
        <w:adjustRightInd w:val="0"/>
        <w:jc w:val="both"/>
        <w:rPr>
          <w:rFonts w:cs="Arial"/>
        </w:rPr>
      </w:pPr>
      <w:r w:rsidRPr="00EA7AEA">
        <w:rPr>
          <w:rFonts w:cs="Arial"/>
          <w:u w:val="single"/>
        </w:rPr>
        <w:t>Regulation 2</w:t>
      </w:r>
      <w:r w:rsidRPr="00EA7AEA">
        <w:rPr>
          <w:rFonts w:cs="Arial"/>
        </w:rPr>
        <w:t xml:space="preserve"> </w:t>
      </w:r>
      <w:r w:rsidR="00F65571" w:rsidRPr="00EA7AEA">
        <w:rPr>
          <w:rFonts w:cs="Arial"/>
        </w:rPr>
        <w:t xml:space="preserve">- </w:t>
      </w:r>
      <w:r w:rsidRPr="00EA7AEA">
        <w:rPr>
          <w:rFonts w:cs="Arial"/>
        </w:rPr>
        <w:t>the benefits of arranging integrated services without the need for competition</w:t>
      </w:r>
      <w:r w:rsidR="00EB65FF" w:rsidRPr="00EA7AEA">
        <w:rPr>
          <w:rFonts w:cs="Arial"/>
        </w:rPr>
        <w:t xml:space="preserve"> is emphasised</w:t>
      </w:r>
      <w:r w:rsidRPr="00EA7AEA">
        <w:rPr>
          <w:rFonts w:cs="Arial"/>
        </w:rPr>
        <w:t>.  This confirms that one objective of procurement includes the services being provided in an integrated way.  This is added to the other objectives of (a) securing the needs of patients, (b) improving quality and (c) improving efficiency.  The decision to tender involves a balance between these objectives.</w:t>
      </w:r>
    </w:p>
    <w:p w:rsidR="00F65571" w:rsidRPr="00EA7AEA" w:rsidRDefault="00F65571" w:rsidP="00F65571">
      <w:pPr>
        <w:pStyle w:val="ListParagraph"/>
        <w:numPr>
          <w:ilvl w:val="0"/>
          <w:numId w:val="58"/>
        </w:numPr>
        <w:autoSpaceDE w:val="0"/>
        <w:autoSpaceDN w:val="0"/>
        <w:adjustRightInd w:val="0"/>
        <w:jc w:val="both"/>
        <w:rPr>
          <w:rFonts w:cs="Arial"/>
        </w:rPr>
      </w:pPr>
      <w:r w:rsidRPr="00EA7AEA">
        <w:rPr>
          <w:rFonts w:cs="Arial"/>
          <w:u w:val="single"/>
        </w:rPr>
        <w:t>Regulation 5</w:t>
      </w:r>
      <w:r w:rsidRPr="00EA7AEA">
        <w:rPr>
          <w:rFonts w:cs="Arial"/>
        </w:rPr>
        <w:t xml:space="preserve"> - Commissioners are not required to advertise if ‘satisfied’ that the services can be provided by a single provider only.  CCG’s retain </w:t>
      </w:r>
      <w:r w:rsidRPr="00EA7AEA">
        <w:rPr>
          <w:rFonts w:cs="Arial"/>
          <w:i/>
        </w:rPr>
        <w:t>‘reasonable’</w:t>
      </w:r>
      <w:r w:rsidRPr="00EA7AEA">
        <w:rPr>
          <w:rFonts w:cs="Arial"/>
        </w:rPr>
        <w:t xml:space="preserve"> discretion in the decision.</w:t>
      </w:r>
    </w:p>
    <w:p w:rsidR="00F65571" w:rsidRPr="00EA7AEA" w:rsidRDefault="00F65571" w:rsidP="00264B71">
      <w:pPr>
        <w:pStyle w:val="ListParagraph"/>
        <w:numPr>
          <w:ilvl w:val="0"/>
          <w:numId w:val="58"/>
        </w:numPr>
        <w:autoSpaceDE w:val="0"/>
        <w:autoSpaceDN w:val="0"/>
        <w:adjustRightInd w:val="0"/>
        <w:jc w:val="both"/>
        <w:rPr>
          <w:rFonts w:cs="Arial"/>
        </w:rPr>
      </w:pPr>
      <w:r w:rsidRPr="00EA7AEA">
        <w:rPr>
          <w:rFonts w:cs="Arial"/>
          <w:u w:val="single"/>
        </w:rPr>
        <w:t>Regulation 10</w:t>
      </w:r>
      <w:r w:rsidRPr="00EA7AEA">
        <w:rPr>
          <w:rFonts w:cs="Arial"/>
        </w:rPr>
        <w:t xml:space="preserve"> - Commissioners must not engage in anti-competitive behaviour unless to do so is in the interests of people who use health care services for the purposes of the NHS which may include:</w:t>
      </w:r>
    </w:p>
    <w:p w:rsidR="00F65571" w:rsidRPr="00EA7AEA" w:rsidRDefault="00F65571" w:rsidP="00F65571">
      <w:pPr>
        <w:pStyle w:val="ListParagraph"/>
        <w:numPr>
          <w:ilvl w:val="0"/>
          <w:numId w:val="71"/>
        </w:numPr>
        <w:autoSpaceDE w:val="0"/>
        <w:autoSpaceDN w:val="0"/>
        <w:adjustRightInd w:val="0"/>
        <w:jc w:val="both"/>
        <w:rPr>
          <w:rFonts w:cs="Arial"/>
        </w:rPr>
      </w:pPr>
      <w:r w:rsidRPr="00EA7AEA">
        <w:rPr>
          <w:rFonts w:cs="Arial"/>
        </w:rPr>
        <w:t>by the services being provided in an integrated way (including with other health care services, health-related services, or social care services); or</w:t>
      </w:r>
    </w:p>
    <w:p w:rsidR="00F65571" w:rsidRPr="00EA7AEA" w:rsidRDefault="00F65571" w:rsidP="00F65571">
      <w:pPr>
        <w:pStyle w:val="ListParagraph"/>
        <w:numPr>
          <w:ilvl w:val="0"/>
          <w:numId w:val="71"/>
        </w:numPr>
        <w:autoSpaceDE w:val="0"/>
        <w:autoSpaceDN w:val="0"/>
        <w:adjustRightInd w:val="0"/>
        <w:jc w:val="both"/>
        <w:rPr>
          <w:rFonts w:cs="Arial"/>
        </w:rPr>
      </w:pPr>
      <w:proofErr w:type="gramStart"/>
      <w:r w:rsidRPr="00EA7AEA">
        <w:rPr>
          <w:rFonts w:cs="Arial"/>
        </w:rPr>
        <w:t>by</w:t>
      </w:r>
      <w:proofErr w:type="gramEnd"/>
      <w:r w:rsidRPr="00EA7AEA">
        <w:rPr>
          <w:rFonts w:cs="Arial"/>
        </w:rPr>
        <w:t xml:space="preserve"> co-operation between the persons who provide the services in order to improve the quality of the services.</w:t>
      </w:r>
    </w:p>
    <w:p w:rsidR="00344C0A" w:rsidRPr="00EA7AEA" w:rsidRDefault="00344C0A" w:rsidP="006F0A88">
      <w:pPr>
        <w:autoSpaceDE w:val="0"/>
        <w:autoSpaceDN w:val="0"/>
        <w:adjustRightInd w:val="0"/>
        <w:jc w:val="both"/>
        <w:rPr>
          <w:rFonts w:cs="Arial"/>
        </w:rPr>
      </w:pPr>
    </w:p>
    <w:p w:rsidR="00B823E2" w:rsidRPr="00EA7AEA" w:rsidRDefault="00F65571" w:rsidP="006F0A88">
      <w:pPr>
        <w:autoSpaceDE w:val="0"/>
        <w:autoSpaceDN w:val="0"/>
        <w:adjustRightInd w:val="0"/>
        <w:jc w:val="both"/>
        <w:rPr>
          <w:rFonts w:cs="Arial"/>
        </w:rPr>
      </w:pPr>
      <w:r w:rsidRPr="00EA7AEA">
        <w:rPr>
          <w:rFonts w:cs="Arial"/>
        </w:rPr>
        <w:t>U</w:t>
      </w:r>
      <w:r w:rsidR="00B823E2" w:rsidRPr="00EA7AEA">
        <w:rPr>
          <w:rFonts w:cs="Arial"/>
        </w:rPr>
        <w:t>nder the revised Principles for Cooperation and Competition (30 July 2010), all new services and significantly redesigned services should be tendered unless approval is granted by the NHS Commissioning Board not to tender.</w:t>
      </w:r>
    </w:p>
    <w:p w:rsidR="007914B2" w:rsidRPr="00EA7AEA" w:rsidRDefault="007914B2" w:rsidP="006F0A88">
      <w:pPr>
        <w:autoSpaceDE w:val="0"/>
        <w:autoSpaceDN w:val="0"/>
        <w:adjustRightInd w:val="0"/>
        <w:jc w:val="both"/>
        <w:rPr>
          <w:rFonts w:cs="Arial"/>
        </w:rPr>
      </w:pPr>
    </w:p>
    <w:p w:rsidR="007914B2" w:rsidRPr="00EA7AEA" w:rsidRDefault="00D42B10" w:rsidP="006F0A88">
      <w:pPr>
        <w:autoSpaceDE w:val="0"/>
        <w:autoSpaceDN w:val="0"/>
        <w:adjustRightInd w:val="0"/>
        <w:jc w:val="both"/>
        <w:rPr>
          <w:rFonts w:cs="Arial"/>
        </w:rPr>
      </w:pPr>
      <w:r w:rsidRPr="00EA7AEA">
        <w:rPr>
          <w:rFonts w:cs="Arial"/>
        </w:rPr>
        <w:t>Commissioners may also seek to use competition as a means of securing value for money.  For example, Commissioners may procure services via a competitive tendering process to encourage providers to re-evaluate existing services, re-design pathways, consider whether to introduce new technologies and improve efficiency.</w:t>
      </w:r>
    </w:p>
    <w:p w:rsidR="00B823E2" w:rsidRPr="00EA7AEA" w:rsidRDefault="00B823E2" w:rsidP="00B823E2">
      <w:pPr>
        <w:autoSpaceDE w:val="0"/>
        <w:autoSpaceDN w:val="0"/>
        <w:adjustRightInd w:val="0"/>
        <w:jc w:val="both"/>
        <w:rPr>
          <w:rFonts w:cs="Arial"/>
          <w:b/>
          <w:i/>
          <w:sz w:val="18"/>
          <w:szCs w:val="18"/>
        </w:rPr>
      </w:pPr>
    </w:p>
    <w:p w:rsidR="007F70A3" w:rsidRPr="00EA7AEA" w:rsidRDefault="007F70A3" w:rsidP="00264B71">
      <w:pPr>
        <w:pStyle w:val="ListParagraph"/>
        <w:numPr>
          <w:ilvl w:val="0"/>
          <w:numId w:val="3"/>
        </w:numPr>
        <w:autoSpaceDE w:val="0"/>
        <w:autoSpaceDN w:val="0"/>
        <w:adjustRightInd w:val="0"/>
        <w:ind w:left="709" w:hanging="709"/>
        <w:jc w:val="both"/>
        <w:rPr>
          <w:rFonts w:cs="Arial"/>
          <w:u w:val="single"/>
        </w:rPr>
      </w:pPr>
      <w:r w:rsidRPr="00EA7AEA">
        <w:rPr>
          <w:rFonts w:cs="Arial"/>
          <w:u w:val="single"/>
        </w:rPr>
        <w:t>Overarching Principles of Procurement</w:t>
      </w:r>
      <w:r w:rsidR="007115F7" w:rsidRPr="00EA7AEA">
        <w:rPr>
          <w:rFonts w:cs="Arial"/>
          <w:u w:val="single"/>
        </w:rPr>
        <w:t>:</w:t>
      </w:r>
    </w:p>
    <w:p w:rsidR="007F70A3" w:rsidRPr="00EA7AEA" w:rsidRDefault="007F70A3" w:rsidP="006F0A88">
      <w:pPr>
        <w:autoSpaceDE w:val="0"/>
        <w:autoSpaceDN w:val="0"/>
        <w:adjustRightInd w:val="0"/>
        <w:jc w:val="both"/>
        <w:rPr>
          <w:rFonts w:cs="Arial"/>
        </w:rPr>
      </w:pPr>
    </w:p>
    <w:p w:rsidR="001878EE" w:rsidRPr="00EA7AEA" w:rsidRDefault="001878EE" w:rsidP="006F0A88">
      <w:pPr>
        <w:autoSpaceDE w:val="0"/>
        <w:autoSpaceDN w:val="0"/>
        <w:adjustRightInd w:val="0"/>
        <w:jc w:val="both"/>
        <w:rPr>
          <w:rFonts w:cs="Arial"/>
        </w:rPr>
      </w:pPr>
      <w:r w:rsidRPr="00EA7AEA">
        <w:rPr>
          <w:rFonts w:cs="Arial"/>
        </w:rPr>
        <w:t xml:space="preserve">The </w:t>
      </w:r>
      <w:r w:rsidR="00D4121E" w:rsidRPr="00EA7AEA">
        <w:rPr>
          <w:rFonts w:cs="Arial"/>
        </w:rPr>
        <w:t>G</w:t>
      </w:r>
      <w:r w:rsidRPr="00EA7AEA">
        <w:rPr>
          <w:rFonts w:cs="Arial"/>
        </w:rPr>
        <w:t>CCG will adhere to the principles of public procurement whilst undertaking all procurement activity as follows:</w:t>
      </w:r>
    </w:p>
    <w:p w:rsidR="007D72F7" w:rsidRPr="00EA7AEA" w:rsidRDefault="007D72F7" w:rsidP="006F0A88">
      <w:pPr>
        <w:autoSpaceDE w:val="0"/>
        <w:autoSpaceDN w:val="0"/>
        <w:adjustRightInd w:val="0"/>
        <w:jc w:val="both"/>
        <w:rPr>
          <w:rFonts w:cs="Arial"/>
        </w:rPr>
      </w:pPr>
    </w:p>
    <w:p w:rsidR="005D043D" w:rsidRPr="00EA7AEA" w:rsidRDefault="005D043D" w:rsidP="006F0A88">
      <w:pPr>
        <w:autoSpaceDE w:val="0"/>
        <w:autoSpaceDN w:val="0"/>
        <w:adjustRightInd w:val="0"/>
        <w:jc w:val="both"/>
        <w:rPr>
          <w:rFonts w:cs="Arial"/>
        </w:rPr>
      </w:pPr>
    </w:p>
    <w:tbl>
      <w:tblPr>
        <w:tblStyle w:val="TableGrid"/>
        <w:tblW w:w="0" w:type="auto"/>
        <w:tblLook w:val="04A0" w:firstRow="1" w:lastRow="0" w:firstColumn="1" w:lastColumn="0" w:noHBand="0" w:noVBand="1"/>
      </w:tblPr>
      <w:tblGrid>
        <w:gridCol w:w="2518"/>
        <w:gridCol w:w="6724"/>
      </w:tblGrid>
      <w:tr w:rsidR="00BE69CE" w:rsidRPr="00EA7AEA" w:rsidTr="002C5D5B">
        <w:tc>
          <w:tcPr>
            <w:tcW w:w="2518" w:type="dxa"/>
            <w:shd w:val="clear" w:color="auto" w:fill="B8CCE4" w:themeFill="accent1" w:themeFillTint="66"/>
          </w:tcPr>
          <w:p w:rsidR="00744E17" w:rsidRPr="00EA7AEA" w:rsidRDefault="00744E17" w:rsidP="006F0A88">
            <w:pPr>
              <w:autoSpaceDE w:val="0"/>
              <w:autoSpaceDN w:val="0"/>
              <w:adjustRightInd w:val="0"/>
              <w:jc w:val="both"/>
              <w:rPr>
                <w:rFonts w:cs="Arial"/>
                <w:b/>
                <w:sz w:val="20"/>
                <w:szCs w:val="20"/>
              </w:rPr>
            </w:pPr>
          </w:p>
          <w:p w:rsidR="00744E17" w:rsidRPr="00EA7AEA" w:rsidRDefault="00744E17" w:rsidP="006F0A88">
            <w:pPr>
              <w:autoSpaceDE w:val="0"/>
              <w:autoSpaceDN w:val="0"/>
              <w:adjustRightInd w:val="0"/>
              <w:jc w:val="both"/>
              <w:rPr>
                <w:rFonts w:cs="Arial"/>
                <w:b/>
                <w:sz w:val="20"/>
                <w:szCs w:val="20"/>
              </w:rPr>
            </w:pPr>
            <w:r w:rsidRPr="00EA7AEA">
              <w:rPr>
                <w:rFonts w:cs="Arial"/>
                <w:b/>
                <w:sz w:val="20"/>
                <w:szCs w:val="20"/>
              </w:rPr>
              <w:t>Principle:</w:t>
            </w:r>
          </w:p>
          <w:p w:rsidR="00744E17" w:rsidRPr="00EA7AEA" w:rsidRDefault="00744E17" w:rsidP="006F0A88">
            <w:pPr>
              <w:autoSpaceDE w:val="0"/>
              <w:autoSpaceDN w:val="0"/>
              <w:adjustRightInd w:val="0"/>
              <w:jc w:val="both"/>
              <w:rPr>
                <w:rFonts w:cs="Arial"/>
                <w:b/>
                <w:sz w:val="20"/>
                <w:szCs w:val="20"/>
              </w:rPr>
            </w:pPr>
          </w:p>
        </w:tc>
        <w:tc>
          <w:tcPr>
            <w:tcW w:w="6724" w:type="dxa"/>
            <w:shd w:val="clear" w:color="auto" w:fill="B8CCE4" w:themeFill="accent1" w:themeFillTint="66"/>
          </w:tcPr>
          <w:p w:rsidR="00744E17" w:rsidRPr="00EA7AEA" w:rsidRDefault="00744E17" w:rsidP="00744E17">
            <w:pPr>
              <w:autoSpaceDE w:val="0"/>
              <w:autoSpaceDN w:val="0"/>
              <w:adjustRightInd w:val="0"/>
              <w:jc w:val="both"/>
              <w:rPr>
                <w:rFonts w:cs="Arial"/>
                <w:b/>
                <w:sz w:val="20"/>
                <w:szCs w:val="20"/>
              </w:rPr>
            </w:pPr>
          </w:p>
          <w:p w:rsidR="00744E17" w:rsidRPr="00EA7AEA" w:rsidRDefault="00687B58" w:rsidP="00744E17">
            <w:pPr>
              <w:autoSpaceDE w:val="0"/>
              <w:autoSpaceDN w:val="0"/>
              <w:adjustRightInd w:val="0"/>
              <w:jc w:val="both"/>
              <w:rPr>
                <w:rFonts w:cs="Arial"/>
                <w:b/>
                <w:sz w:val="20"/>
                <w:szCs w:val="20"/>
              </w:rPr>
            </w:pPr>
            <w:r w:rsidRPr="00EA7AEA">
              <w:rPr>
                <w:rFonts w:cs="Arial"/>
                <w:b/>
                <w:sz w:val="20"/>
                <w:szCs w:val="20"/>
              </w:rPr>
              <w:t>G</w:t>
            </w:r>
            <w:r w:rsidR="00744E17" w:rsidRPr="00EA7AEA">
              <w:rPr>
                <w:rFonts w:cs="Arial"/>
                <w:b/>
                <w:sz w:val="20"/>
                <w:szCs w:val="20"/>
              </w:rPr>
              <w:t>CCG Undertaking:</w:t>
            </w:r>
          </w:p>
        </w:tc>
      </w:tr>
      <w:tr w:rsidR="00BE69CE" w:rsidRPr="00EA7AEA" w:rsidTr="002C5D5B">
        <w:tc>
          <w:tcPr>
            <w:tcW w:w="2518" w:type="dxa"/>
            <w:vMerge w:val="restart"/>
            <w:vAlign w:val="center"/>
          </w:tcPr>
          <w:p w:rsidR="00350E81" w:rsidRPr="00EA7AEA" w:rsidRDefault="00350E81" w:rsidP="007D72F7">
            <w:pPr>
              <w:autoSpaceDE w:val="0"/>
              <w:autoSpaceDN w:val="0"/>
              <w:adjustRightInd w:val="0"/>
              <w:rPr>
                <w:rFonts w:cs="Arial"/>
                <w:b/>
                <w:sz w:val="20"/>
                <w:szCs w:val="20"/>
              </w:rPr>
            </w:pPr>
            <w:r w:rsidRPr="00EA7AEA">
              <w:rPr>
                <w:rFonts w:cs="Arial"/>
                <w:b/>
                <w:sz w:val="20"/>
                <w:szCs w:val="20"/>
              </w:rPr>
              <w:t>Transparency</w:t>
            </w:r>
            <w:r w:rsidR="007115F7" w:rsidRPr="00EA7AEA">
              <w:rPr>
                <w:rFonts w:cs="Arial"/>
                <w:b/>
                <w:sz w:val="20"/>
                <w:szCs w:val="20"/>
              </w:rPr>
              <w:t>:</w:t>
            </w:r>
          </w:p>
        </w:tc>
        <w:tc>
          <w:tcPr>
            <w:tcW w:w="6724" w:type="dxa"/>
          </w:tcPr>
          <w:p w:rsidR="00350E81" w:rsidRPr="00EA7AEA" w:rsidRDefault="00350E81" w:rsidP="002C5D5B">
            <w:pPr>
              <w:autoSpaceDE w:val="0"/>
              <w:autoSpaceDN w:val="0"/>
              <w:adjustRightInd w:val="0"/>
              <w:spacing w:before="60" w:after="60"/>
              <w:jc w:val="both"/>
              <w:rPr>
                <w:rFonts w:cs="Arial"/>
                <w:sz w:val="20"/>
                <w:szCs w:val="20"/>
              </w:rPr>
            </w:pPr>
            <w:r w:rsidRPr="00EA7AEA">
              <w:rPr>
                <w:rFonts w:cs="Arial"/>
                <w:sz w:val="20"/>
                <w:szCs w:val="20"/>
              </w:rPr>
              <w:t>State Commissioning Strategies and Intentions:</w:t>
            </w:r>
          </w:p>
        </w:tc>
      </w:tr>
      <w:tr w:rsidR="00BE69CE" w:rsidRPr="00EA7AEA" w:rsidTr="002C5D5B">
        <w:tc>
          <w:tcPr>
            <w:tcW w:w="2518" w:type="dxa"/>
            <w:vMerge/>
          </w:tcPr>
          <w:p w:rsidR="00350E81" w:rsidRPr="00EA7AEA" w:rsidRDefault="00350E81" w:rsidP="006F0A88">
            <w:pPr>
              <w:autoSpaceDE w:val="0"/>
              <w:autoSpaceDN w:val="0"/>
              <w:adjustRightInd w:val="0"/>
              <w:jc w:val="both"/>
              <w:rPr>
                <w:rFonts w:cs="Arial"/>
                <w:sz w:val="20"/>
                <w:szCs w:val="20"/>
              </w:rPr>
            </w:pPr>
          </w:p>
        </w:tc>
        <w:tc>
          <w:tcPr>
            <w:tcW w:w="6724" w:type="dxa"/>
          </w:tcPr>
          <w:p w:rsidR="00350E81" w:rsidRPr="00EA7AEA" w:rsidRDefault="00350E81" w:rsidP="002C5D5B">
            <w:pPr>
              <w:autoSpaceDE w:val="0"/>
              <w:autoSpaceDN w:val="0"/>
              <w:adjustRightInd w:val="0"/>
              <w:spacing w:before="60" w:after="60"/>
              <w:jc w:val="both"/>
              <w:rPr>
                <w:rFonts w:cs="Arial"/>
                <w:sz w:val="20"/>
                <w:szCs w:val="20"/>
              </w:rPr>
            </w:pPr>
            <w:r w:rsidRPr="00EA7AEA">
              <w:rPr>
                <w:rFonts w:cs="Arial"/>
                <w:sz w:val="20"/>
                <w:szCs w:val="20"/>
              </w:rPr>
              <w:t xml:space="preserve">Publish short / medium procurement intentions on the </w:t>
            </w:r>
            <w:r w:rsidR="00D4121E" w:rsidRPr="00EA7AEA">
              <w:rPr>
                <w:rFonts w:cs="Arial"/>
                <w:sz w:val="20"/>
                <w:szCs w:val="20"/>
              </w:rPr>
              <w:t>G</w:t>
            </w:r>
            <w:r w:rsidRPr="00EA7AEA">
              <w:rPr>
                <w:rFonts w:cs="Arial"/>
                <w:sz w:val="20"/>
                <w:szCs w:val="20"/>
              </w:rPr>
              <w:t>CCG web site</w:t>
            </w:r>
          </w:p>
        </w:tc>
      </w:tr>
      <w:tr w:rsidR="00BE69CE" w:rsidRPr="00EA7AEA" w:rsidTr="002C5D5B">
        <w:tc>
          <w:tcPr>
            <w:tcW w:w="2518" w:type="dxa"/>
            <w:vMerge/>
          </w:tcPr>
          <w:p w:rsidR="00350E81" w:rsidRPr="00EA7AEA" w:rsidRDefault="00350E81" w:rsidP="006F0A88">
            <w:pPr>
              <w:autoSpaceDE w:val="0"/>
              <w:autoSpaceDN w:val="0"/>
              <w:adjustRightInd w:val="0"/>
              <w:jc w:val="both"/>
              <w:rPr>
                <w:rFonts w:cs="Arial"/>
                <w:sz w:val="20"/>
                <w:szCs w:val="20"/>
              </w:rPr>
            </w:pPr>
          </w:p>
        </w:tc>
        <w:tc>
          <w:tcPr>
            <w:tcW w:w="6724" w:type="dxa"/>
          </w:tcPr>
          <w:p w:rsidR="00350E81" w:rsidRPr="00EA7AEA" w:rsidRDefault="00350E81" w:rsidP="002C5D5B">
            <w:pPr>
              <w:autoSpaceDE w:val="0"/>
              <w:autoSpaceDN w:val="0"/>
              <w:adjustRightInd w:val="0"/>
              <w:spacing w:before="60" w:after="60"/>
              <w:jc w:val="both"/>
              <w:rPr>
                <w:rFonts w:cs="Arial"/>
                <w:sz w:val="20"/>
                <w:szCs w:val="20"/>
              </w:rPr>
            </w:pPr>
            <w:r w:rsidRPr="00EA7AEA">
              <w:rPr>
                <w:rFonts w:cs="Arial"/>
                <w:sz w:val="20"/>
                <w:szCs w:val="20"/>
              </w:rPr>
              <w:t>State outcomes of service reviews and whether a competitive tender / AQP process is to be used.</w:t>
            </w:r>
          </w:p>
        </w:tc>
      </w:tr>
      <w:tr w:rsidR="00BE69CE" w:rsidRPr="00EA7AEA" w:rsidTr="002C5D5B">
        <w:tc>
          <w:tcPr>
            <w:tcW w:w="2518" w:type="dxa"/>
            <w:vMerge/>
          </w:tcPr>
          <w:p w:rsidR="00350E81" w:rsidRPr="00EA7AEA" w:rsidRDefault="00350E81" w:rsidP="006F0A88">
            <w:pPr>
              <w:autoSpaceDE w:val="0"/>
              <w:autoSpaceDN w:val="0"/>
              <w:adjustRightInd w:val="0"/>
              <w:jc w:val="both"/>
              <w:rPr>
                <w:rFonts w:cs="Arial"/>
                <w:sz w:val="20"/>
                <w:szCs w:val="20"/>
              </w:rPr>
            </w:pPr>
          </w:p>
        </w:tc>
        <w:tc>
          <w:tcPr>
            <w:tcW w:w="6724" w:type="dxa"/>
          </w:tcPr>
          <w:p w:rsidR="00350E81" w:rsidRPr="00EA7AEA" w:rsidRDefault="00350E81" w:rsidP="002C5D5B">
            <w:pPr>
              <w:autoSpaceDE w:val="0"/>
              <w:autoSpaceDN w:val="0"/>
              <w:adjustRightInd w:val="0"/>
              <w:spacing w:before="60" w:after="60"/>
              <w:jc w:val="both"/>
              <w:rPr>
                <w:rFonts w:cs="Arial"/>
                <w:sz w:val="20"/>
                <w:szCs w:val="20"/>
              </w:rPr>
            </w:pPr>
            <w:r w:rsidRPr="00EA7AEA">
              <w:rPr>
                <w:rFonts w:cs="Arial"/>
                <w:sz w:val="20"/>
                <w:szCs w:val="20"/>
              </w:rPr>
              <w:t>Pricing tariffs and other payment regimes will be fair and transparent.</w:t>
            </w:r>
          </w:p>
        </w:tc>
      </w:tr>
      <w:tr w:rsidR="00BE69CE" w:rsidRPr="00EA7AEA" w:rsidTr="002C5D5B">
        <w:tc>
          <w:tcPr>
            <w:tcW w:w="2518" w:type="dxa"/>
            <w:vMerge/>
          </w:tcPr>
          <w:p w:rsidR="00350E81" w:rsidRPr="00EA7AEA" w:rsidRDefault="00350E81" w:rsidP="006F0A88">
            <w:pPr>
              <w:autoSpaceDE w:val="0"/>
              <w:autoSpaceDN w:val="0"/>
              <w:adjustRightInd w:val="0"/>
              <w:jc w:val="both"/>
              <w:rPr>
                <w:rFonts w:cs="Arial"/>
                <w:sz w:val="20"/>
                <w:szCs w:val="20"/>
              </w:rPr>
            </w:pPr>
          </w:p>
        </w:tc>
        <w:tc>
          <w:tcPr>
            <w:tcW w:w="6724" w:type="dxa"/>
          </w:tcPr>
          <w:p w:rsidR="00350E81" w:rsidRPr="00EA7AEA" w:rsidRDefault="00350E81" w:rsidP="003234E3">
            <w:pPr>
              <w:autoSpaceDE w:val="0"/>
              <w:autoSpaceDN w:val="0"/>
              <w:adjustRightInd w:val="0"/>
              <w:spacing w:before="60" w:after="60"/>
              <w:jc w:val="both"/>
              <w:rPr>
                <w:rFonts w:cs="Arial"/>
                <w:sz w:val="20"/>
                <w:szCs w:val="20"/>
              </w:rPr>
            </w:pPr>
            <w:r w:rsidRPr="00EA7AEA">
              <w:rPr>
                <w:rFonts w:cs="Arial"/>
                <w:sz w:val="20"/>
                <w:szCs w:val="20"/>
              </w:rPr>
              <w:t xml:space="preserve">Advertise all procurement opportunities via Supply2Health and </w:t>
            </w:r>
            <w:r w:rsidR="003234E3" w:rsidRPr="00EA7AEA">
              <w:rPr>
                <w:rFonts w:cs="Arial"/>
                <w:sz w:val="20"/>
                <w:szCs w:val="20"/>
              </w:rPr>
              <w:t xml:space="preserve">the GCCG website </w:t>
            </w:r>
            <w:r w:rsidRPr="00EA7AEA">
              <w:rPr>
                <w:rFonts w:cs="Arial"/>
                <w:sz w:val="20"/>
                <w:szCs w:val="20"/>
              </w:rPr>
              <w:t>(as applicable) and notification of contract award.</w:t>
            </w:r>
          </w:p>
        </w:tc>
      </w:tr>
      <w:tr w:rsidR="00BE69CE" w:rsidRPr="00EA7AEA" w:rsidTr="002C5D5B">
        <w:tc>
          <w:tcPr>
            <w:tcW w:w="2518" w:type="dxa"/>
            <w:vMerge/>
          </w:tcPr>
          <w:p w:rsidR="00350E81" w:rsidRPr="00EA7AEA" w:rsidRDefault="00350E81" w:rsidP="006F0A88">
            <w:pPr>
              <w:autoSpaceDE w:val="0"/>
              <w:autoSpaceDN w:val="0"/>
              <w:adjustRightInd w:val="0"/>
              <w:jc w:val="both"/>
              <w:rPr>
                <w:rFonts w:cs="Arial"/>
                <w:sz w:val="20"/>
                <w:szCs w:val="20"/>
              </w:rPr>
            </w:pPr>
          </w:p>
        </w:tc>
        <w:tc>
          <w:tcPr>
            <w:tcW w:w="6724" w:type="dxa"/>
          </w:tcPr>
          <w:p w:rsidR="00350E81" w:rsidRPr="00EA7AEA" w:rsidRDefault="00350E81" w:rsidP="002C5D5B">
            <w:pPr>
              <w:autoSpaceDE w:val="0"/>
              <w:autoSpaceDN w:val="0"/>
              <w:adjustRightInd w:val="0"/>
              <w:spacing w:before="60" w:after="60"/>
              <w:jc w:val="both"/>
              <w:rPr>
                <w:rFonts w:cs="Arial"/>
                <w:sz w:val="20"/>
                <w:szCs w:val="20"/>
              </w:rPr>
            </w:pPr>
            <w:r w:rsidRPr="00EA7AEA">
              <w:rPr>
                <w:rFonts w:cs="Arial"/>
                <w:sz w:val="20"/>
                <w:szCs w:val="20"/>
              </w:rPr>
              <w:t>Maintain an auditable tender documentation trail (and for decisions not to tender), providing clear accountability.</w:t>
            </w:r>
          </w:p>
        </w:tc>
      </w:tr>
      <w:tr w:rsidR="00BE69CE" w:rsidRPr="00EA7AEA" w:rsidTr="002C5D5B">
        <w:tc>
          <w:tcPr>
            <w:tcW w:w="2518" w:type="dxa"/>
            <w:vMerge/>
          </w:tcPr>
          <w:p w:rsidR="00350E81" w:rsidRPr="00EA7AEA" w:rsidRDefault="00350E81" w:rsidP="006F0A88">
            <w:pPr>
              <w:autoSpaceDE w:val="0"/>
              <w:autoSpaceDN w:val="0"/>
              <w:adjustRightInd w:val="0"/>
              <w:jc w:val="both"/>
              <w:rPr>
                <w:rFonts w:cs="Arial"/>
                <w:sz w:val="20"/>
                <w:szCs w:val="20"/>
              </w:rPr>
            </w:pPr>
          </w:p>
        </w:tc>
        <w:tc>
          <w:tcPr>
            <w:tcW w:w="6724" w:type="dxa"/>
          </w:tcPr>
          <w:p w:rsidR="00350E81" w:rsidRPr="00EA7AEA" w:rsidRDefault="00350E81" w:rsidP="002C5D5B">
            <w:pPr>
              <w:autoSpaceDE w:val="0"/>
              <w:autoSpaceDN w:val="0"/>
              <w:adjustRightInd w:val="0"/>
              <w:spacing w:before="60" w:after="60"/>
              <w:jc w:val="both"/>
              <w:rPr>
                <w:rFonts w:cs="Arial"/>
                <w:sz w:val="20"/>
                <w:szCs w:val="20"/>
              </w:rPr>
            </w:pPr>
            <w:r w:rsidRPr="00EA7AEA">
              <w:rPr>
                <w:rFonts w:cs="Arial"/>
                <w:sz w:val="20"/>
                <w:szCs w:val="20"/>
              </w:rPr>
              <w:t xml:space="preserve">Publish details of all contracts awarded on its website, including </w:t>
            </w:r>
            <w:r w:rsidR="007C647A" w:rsidRPr="00EA7AEA">
              <w:rPr>
                <w:rFonts w:cs="Arial"/>
                <w:sz w:val="20"/>
                <w:szCs w:val="20"/>
              </w:rPr>
              <w:t xml:space="preserve">contract type, </w:t>
            </w:r>
            <w:r w:rsidR="008C5F60" w:rsidRPr="00EA7AEA">
              <w:rPr>
                <w:rFonts w:cs="Arial"/>
                <w:sz w:val="20"/>
                <w:szCs w:val="20"/>
              </w:rPr>
              <w:t>value</w:t>
            </w:r>
            <w:r w:rsidR="007C647A" w:rsidRPr="00EA7AEA">
              <w:rPr>
                <w:rFonts w:cs="Arial"/>
                <w:sz w:val="20"/>
                <w:szCs w:val="20"/>
              </w:rPr>
              <w:t xml:space="preserve"> and, in the case of AQP contracts, the names of accredited service providers</w:t>
            </w:r>
          </w:p>
        </w:tc>
      </w:tr>
      <w:tr w:rsidR="00BE69CE" w:rsidRPr="00EA7AEA" w:rsidTr="002C5D5B">
        <w:tc>
          <w:tcPr>
            <w:tcW w:w="2518" w:type="dxa"/>
            <w:vMerge w:val="restart"/>
            <w:vAlign w:val="center"/>
          </w:tcPr>
          <w:p w:rsidR="00CF4869" w:rsidRPr="00EA7AEA" w:rsidRDefault="00CF4869" w:rsidP="00CF4869">
            <w:pPr>
              <w:autoSpaceDE w:val="0"/>
              <w:autoSpaceDN w:val="0"/>
              <w:adjustRightInd w:val="0"/>
              <w:rPr>
                <w:rFonts w:cs="Arial"/>
                <w:b/>
                <w:sz w:val="20"/>
                <w:szCs w:val="20"/>
              </w:rPr>
            </w:pPr>
            <w:r w:rsidRPr="00EA7AEA">
              <w:rPr>
                <w:rFonts w:cs="Arial"/>
                <w:b/>
                <w:sz w:val="20"/>
                <w:szCs w:val="20"/>
              </w:rPr>
              <w:t>Proportionality</w:t>
            </w:r>
            <w:r w:rsidR="007115F7" w:rsidRPr="00EA7AEA">
              <w:rPr>
                <w:rFonts w:cs="Arial"/>
                <w:b/>
                <w:sz w:val="20"/>
                <w:szCs w:val="20"/>
              </w:rPr>
              <w:t>:</w:t>
            </w:r>
          </w:p>
        </w:tc>
        <w:tc>
          <w:tcPr>
            <w:tcW w:w="6724" w:type="dxa"/>
          </w:tcPr>
          <w:p w:rsidR="00CF4869" w:rsidRPr="00EA7AEA" w:rsidRDefault="00CF4869" w:rsidP="002C5D5B">
            <w:pPr>
              <w:autoSpaceDE w:val="0"/>
              <w:autoSpaceDN w:val="0"/>
              <w:adjustRightInd w:val="0"/>
              <w:spacing w:before="60" w:after="60"/>
              <w:jc w:val="both"/>
              <w:rPr>
                <w:rFonts w:cs="Arial"/>
                <w:sz w:val="20"/>
                <w:szCs w:val="20"/>
              </w:rPr>
            </w:pPr>
            <w:r w:rsidRPr="00EA7AEA">
              <w:rPr>
                <w:rFonts w:cs="Arial"/>
                <w:sz w:val="20"/>
                <w:szCs w:val="20"/>
              </w:rPr>
              <w:t>Commissioner resources must be proportionate to the value, complexity and risk of the service being procured.</w:t>
            </w:r>
          </w:p>
        </w:tc>
      </w:tr>
      <w:tr w:rsidR="00BE69CE" w:rsidRPr="00EA7AEA" w:rsidTr="002C5D5B">
        <w:tc>
          <w:tcPr>
            <w:tcW w:w="2518" w:type="dxa"/>
            <w:vMerge/>
          </w:tcPr>
          <w:p w:rsidR="00CF4869" w:rsidRPr="00EA7AEA" w:rsidRDefault="00CF4869" w:rsidP="006F0A88">
            <w:pPr>
              <w:autoSpaceDE w:val="0"/>
              <w:autoSpaceDN w:val="0"/>
              <w:adjustRightInd w:val="0"/>
              <w:jc w:val="both"/>
              <w:rPr>
                <w:rFonts w:cs="Arial"/>
                <w:sz w:val="20"/>
                <w:szCs w:val="20"/>
              </w:rPr>
            </w:pPr>
          </w:p>
        </w:tc>
        <w:tc>
          <w:tcPr>
            <w:tcW w:w="6724" w:type="dxa"/>
          </w:tcPr>
          <w:p w:rsidR="00CF4869" w:rsidRPr="00EA7AEA" w:rsidRDefault="00CF4869" w:rsidP="002C5D5B">
            <w:pPr>
              <w:autoSpaceDE w:val="0"/>
              <w:autoSpaceDN w:val="0"/>
              <w:adjustRightInd w:val="0"/>
              <w:spacing w:before="60" w:after="60"/>
              <w:jc w:val="both"/>
              <w:rPr>
                <w:rFonts w:cs="Arial"/>
                <w:sz w:val="20"/>
                <w:szCs w:val="20"/>
              </w:rPr>
            </w:pPr>
            <w:r w:rsidRPr="00EA7AEA">
              <w:rPr>
                <w:rFonts w:cs="Arial"/>
                <w:sz w:val="20"/>
                <w:szCs w:val="20"/>
              </w:rPr>
              <w:t>Contract duration to be proportionate to service type being commissioned.</w:t>
            </w:r>
          </w:p>
        </w:tc>
      </w:tr>
      <w:tr w:rsidR="00BE69CE" w:rsidRPr="00EA7AEA" w:rsidTr="002C5D5B">
        <w:tc>
          <w:tcPr>
            <w:tcW w:w="2518" w:type="dxa"/>
            <w:vMerge/>
          </w:tcPr>
          <w:p w:rsidR="00CF4869" w:rsidRPr="00EA7AEA" w:rsidRDefault="00CF4869" w:rsidP="006F0A88">
            <w:pPr>
              <w:autoSpaceDE w:val="0"/>
              <w:autoSpaceDN w:val="0"/>
              <w:adjustRightInd w:val="0"/>
              <w:jc w:val="both"/>
              <w:rPr>
                <w:rFonts w:cs="Arial"/>
                <w:sz w:val="20"/>
                <w:szCs w:val="20"/>
              </w:rPr>
            </w:pPr>
          </w:p>
        </w:tc>
        <w:tc>
          <w:tcPr>
            <w:tcW w:w="6724" w:type="dxa"/>
          </w:tcPr>
          <w:p w:rsidR="00CF4869" w:rsidRPr="00EA7AEA" w:rsidRDefault="00CF4869" w:rsidP="002C5D5B">
            <w:pPr>
              <w:autoSpaceDE w:val="0"/>
              <w:autoSpaceDN w:val="0"/>
              <w:adjustRightInd w:val="0"/>
              <w:spacing w:before="60" w:after="60"/>
              <w:jc w:val="both"/>
              <w:rPr>
                <w:rFonts w:cs="Arial"/>
                <w:sz w:val="20"/>
                <w:szCs w:val="20"/>
              </w:rPr>
            </w:pPr>
            <w:r w:rsidRPr="00EA7AEA">
              <w:rPr>
                <w:rFonts w:cs="Arial"/>
                <w:sz w:val="20"/>
                <w:szCs w:val="20"/>
              </w:rPr>
              <w:t>Whilst maintaining quality standards / patient safety, Additional award criteria (including financials) must be proportionate to the value, complexity and risk of the service being procured and will not discriminate against smaller organisations such as voluntary sector / social enterprises etc.</w:t>
            </w:r>
          </w:p>
        </w:tc>
      </w:tr>
      <w:tr w:rsidR="00BE69CE" w:rsidRPr="00EA7AEA" w:rsidTr="002C5D5B">
        <w:tc>
          <w:tcPr>
            <w:tcW w:w="2518" w:type="dxa"/>
            <w:vMerge/>
          </w:tcPr>
          <w:p w:rsidR="00CF4869" w:rsidRPr="00EA7AEA" w:rsidRDefault="00CF4869" w:rsidP="006F0A88">
            <w:pPr>
              <w:autoSpaceDE w:val="0"/>
              <w:autoSpaceDN w:val="0"/>
              <w:adjustRightInd w:val="0"/>
              <w:jc w:val="both"/>
              <w:rPr>
                <w:rFonts w:cs="Arial"/>
                <w:sz w:val="20"/>
                <w:szCs w:val="20"/>
              </w:rPr>
            </w:pPr>
          </w:p>
        </w:tc>
        <w:tc>
          <w:tcPr>
            <w:tcW w:w="6724" w:type="dxa"/>
          </w:tcPr>
          <w:p w:rsidR="00CF4869" w:rsidRPr="00EA7AEA" w:rsidRDefault="00CF4869" w:rsidP="002C5D5B">
            <w:pPr>
              <w:autoSpaceDE w:val="0"/>
              <w:autoSpaceDN w:val="0"/>
              <w:adjustRightInd w:val="0"/>
              <w:spacing w:before="60" w:after="60"/>
              <w:jc w:val="both"/>
              <w:rPr>
                <w:rFonts w:cs="Arial"/>
                <w:sz w:val="20"/>
                <w:szCs w:val="20"/>
              </w:rPr>
            </w:pPr>
            <w:r w:rsidRPr="00EA7AEA">
              <w:rPr>
                <w:rFonts w:cs="Arial"/>
                <w:sz w:val="20"/>
                <w:szCs w:val="20"/>
              </w:rPr>
              <w:t xml:space="preserve">The </w:t>
            </w:r>
            <w:r w:rsidR="00D4121E" w:rsidRPr="00EA7AEA">
              <w:rPr>
                <w:rFonts w:cs="Arial"/>
                <w:sz w:val="20"/>
                <w:szCs w:val="20"/>
              </w:rPr>
              <w:t>G</w:t>
            </w:r>
            <w:r w:rsidRPr="00EA7AEA">
              <w:rPr>
                <w:rFonts w:cs="Arial"/>
                <w:sz w:val="20"/>
                <w:szCs w:val="20"/>
              </w:rPr>
              <w:t>CCG will seek to minimise bidder tender costs by avoiding timetable delays and significant changes to scope</w:t>
            </w:r>
          </w:p>
        </w:tc>
      </w:tr>
      <w:tr w:rsidR="00BE69CE" w:rsidRPr="00EA7AEA" w:rsidTr="002C5D5B">
        <w:tc>
          <w:tcPr>
            <w:tcW w:w="2518" w:type="dxa"/>
            <w:vMerge w:val="restart"/>
            <w:vAlign w:val="center"/>
          </w:tcPr>
          <w:p w:rsidR="00CF4869" w:rsidRPr="00EA7AEA" w:rsidRDefault="00CF4869" w:rsidP="00CF4869">
            <w:pPr>
              <w:autoSpaceDE w:val="0"/>
              <w:autoSpaceDN w:val="0"/>
              <w:adjustRightInd w:val="0"/>
              <w:rPr>
                <w:rFonts w:cs="Arial"/>
                <w:b/>
                <w:sz w:val="20"/>
                <w:szCs w:val="20"/>
              </w:rPr>
            </w:pPr>
            <w:r w:rsidRPr="00EA7AEA">
              <w:rPr>
                <w:rFonts w:cs="Arial"/>
                <w:b/>
                <w:sz w:val="20"/>
                <w:szCs w:val="20"/>
              </w:rPr>
              <w:t>Non-Discrimination</w:t>
            </w:r>
            <w:r w:rsidR="007115F7" w:rsidRPr="00EA7AEA">
              <w:rPr>
                <w:rFonts w:cs="Arial"/>
                <w:b/>
                <w:sz w:val="20"/>
                <w:szCs w:val="20"/>
              </w:rPr>
              <w:t>:</w:t>
            </w:r>
          </w:p>
        </w:tc>
        <w:tc>
          <w:tcPr>
            <w:tcW w:w="6724" w:type="dxa"/>
          </w:tcPr>
          <w:p w:rsidR="00CF4869" w:rsidRPr="00EA7AEA" w:rsidRDefault="00CF4869" w:rsidP="002C5D5B">
            <w:pPr>
              <w:autoSpaceDE w:val="0"/>
              <w:autoSpaceDN w:val="0"/>
              <w:adjustRightInd w:val="0"/>
              <w:spacing w:before="60" w:after="60"/>
              <w:jc w:val="both"/>
              <w:rPr>
                <w:rFonts w:cs="Arial"/>
                <w:sz w:val="20"/>
                <w:szCs w:val="20"/>
              </w:rPr>
            </w:pPr>
            <w:r w:rsidRPr="00EA7AEA">
              <w:rPr>
                <w:rFonts w:cs="Arial"/>
                <w:sz w:val="20"/>
                <w:szCs w:val="20"/>
              </w:rPr>
              <w:t xml:space="preserve">The </w:t>
            </w:r>
            <w:r w:rsidR="00D4121E" w:rsidRPr="00EA7AEA">
              <w:rPr>
                <w:rFonts w:cs="Arial"/>
                <w:sz w:val="20"/>
                <w:szCs w:val="20"/>
              </w:rPr>
              <w:t>G</w:t>
            </w:r>
            <w:r w:rsidRPr="00EA7AEA">
              <w:rPr>
                <w:rFonts w:cs="Arial"/>
                <w:sz w:val="20"/>
                <w:szCs w:val="20"/>
              </w:rPr>
              <w:t>CCG will ensure that the entire procurement process and associated documentation will not contain bias towards any particular bidder</w:t>
            </w:r>
          </w:p>
        </w:tc>
      </w:tr>
      <w:tr w:rsidR="00BE69CE" w:rsidRPr="00EA7AEA" w:rsidTr="002C5D5B">
        <w:tc>
          <w:tcPr>
            <w:tcW w:w="2518" w:type="dxa"/>
            <w:vMerge/>
          </w:tcPr>
          <w:p w:rsidR="00CF4869" w:rsidRPr="00EA7AEA" w:rsidRDefault="00CF4869" w:rsidP="006F0A88">
            <w:pPr>
              <w:autoSpaceDE w:val="0"/>
              <w:autoSpaceDN w:val="0"/>
              <w:adjustRightInd w:val="0"/>
              <w:jc w:val="both"/>
              <w:rPr>
                <w:rFonts w:cs="Arial"/>
                <w:sz w:val="20"/>
                <w:szCs w:val="20"/>
              </w:rPr>
            </w:pPr>
          </w:p>
        </w:tc>
        <w:tc>
          <w:tcPr>
            <w:tcW w:w="6724" w:type="dxa"/>
          </w:tcPr>
          <w:p w:rsidR="00CF4869" w:rsidRPr="00EA7AEA" w:rsidRDefault="00CF4869" w:rsidP="002C5D5B">
            <w:pPr>
              <w:autoSpaceDE w:val="0"/>
              <w:autoSpaceDN w:val="0"/>
              <w:adjustRightInd w:val="0"/>
              <w:spacing w:before="60" w:after="60"/>
              <w:jc w:val="both"/>
              <w:rPr>
                <w:rFonts w:cs="Arial"/>
                <w:sz w:val="20"/>
                <w:szCs w:val="20"/>
              </w:rPr>
            </w:pPr>
            <w:r w:rsidRPr="00EA7AEA">
              <w:rPr>
                <w:rFonts w:cs="Arial"/>
                <w:sz w:val="20"/>
                <w:szCs w:val="20"/>
              </w:rPr>
              <w:t xml:space="preserve">All evaluations criteria and </w:t>
            </w:r>
            <w:r w:rsidR="00D64569" w:rsidRPr="00EA7AEA">
              <w:rPr>
                <w:rFonts w:cs="Arial"/>
                <w:sz w:val="20"/>
                <w:szCs w:val="20"/>
              </w:rPr>
              <w:t xml:space="preserve">associated </w:t>
            </w:r>
            <w:r w:rsidRPr="00EA7AEA">
              <w:rPr>
                <w:rFonts w:cs="Arial"/>
                <w:sz w:val="20"/>
                <w:szCs w:val="20"/>
              </w:rPr>
              <w:t>weightings will be fully disclosed</w:t>
            </w:r>
          </w:p>
        </w:tc>
      </w:tr>
      <w:tr w:rsidR="00BE69CE" w:rsidRPr="00EA7AEA" w:rsidTr="002C5D5B">
        <w:tc>
          <w:tcPr>
            <w:tcW w:w="2518" w:type="dxa"/>
            <w:vMerge/>
          </w:tcPr>
          <w:p w:rsidR="00CF4869" w:rsidRPr="00EA7AEA" w:rsidRDefault="00CF4869" w:rsidP="006F0A88">
            <w:pPr>
              <w:autoSpaceDE w:val="0"/>
              <w:autoSpaceDN w:val="0"/>
              <w:adjustRightInd w:val="0"/>
              <w:jc w:val="both"/>
              <w:rPr>
                <w:rFonts w:cs="Arial"/>
                <w:sz w:val="20"/>
                <w:szCs w:val="20"/>
              </w:rPr>
            </w:pPr>
          </w:p>
        </w:tc>
        <w:tc>
          <w:tcPr>
            <w:tcW w:w="6724" w:type="dxa"/>
          </w:tcPr>
          <w:p w:rsidR="00CF4869" w:rsidRPr="00EA7AEA" w:rsidRDefault="00CF4869" w:rsidP="002C5D5B">
            <w:pPr>
              <w:autoSpaceDE w:val="0"/>
              <w:autoSpaceDN w:val="0"/>
              <w:adjustRightInd w:val="0"/>
              <w:spacing w:before="60" w:after="60"/>
              <w:jc w:val="both"/>
              <w:rPr>
                <w:rFonts w:cs="Arial"/>
                <w:sz w:val="20"/>
                <w:szCs w:val="20"/>
              </w:rPr>
            </w:pPr>
            <w:r w:rsidRPr="00EA7AEA">
              <w:rPr>
                <w:rFonts w:cs="Arial"/>
                <w:sz w:val="20"/>
                <w:szCs w:val="20"/>
              </w:rPr>
              <w:t>All relevant information will be disclose</w:t>
            </w:r>
            <w:r w:rsidR="00500416" w:rsidRPr="00EA7AEA">
              <w:rPr>
                <w:rFonts w:cs="Arial"/>
                <w:sz w:val="20"/>
                <w:szCs w:val="20"/>
              </w:rPr>
              <w:t>d</w:t>
            </w:r>
            <w:r w:rsidRPr="00EA7AEA">
              <w:rPr>
                <w:rFonts w:cs="Arial"/>
                <w:sz w:val="20"/>
                <w:szCs w:val="20"/>
              </w:rPr>
              <w:t xml:space="preserve"> equally and in good time to all prospective bidders</w:t>
            </w:r>
          </w:p>
        </w:tc>
      </w:tr>
      <w:tr w:rsidR="00BE69CE" w:rsidRPr="00EA7AEA" w:rsidTr="002C5D5B">
        <w:tc>
          <w:tcPr>
            <w:tcW w:w="2518" w:type="dxa"/>
            <w:vMerge w:val="restart"/>
            <w:vAlign w:val="center"/>
          </w:tcPr>
          <w:p w:rsidR="00CF4869" w:rsidRPr="00EA7AEA" w:rsidRDefault="00CF4869" w:rsidP="00CF4869">
            <w:pPr>
              <w:autoSpaceDE w:val="0"/>
              <w:autoSpaceDN w:val="0"/>
              <w:adjustRightInd w:val="0"/>
              <w:rPr>
                <w:rFonts w:cs="Arial"/>
                <w:b/>
                <w:sz w:val="20"/>
                <w:szCs w:val="20"/>
              </w:rPr>
            </w:pPr>
            <w:r w:rsidRPr="00EA7AEA">
              <w:rPr>
                <w:rFonts w:cs="Arial"/>
                <w:b/>
                <w:sz w:val="20"/>
                <w:szCs w:val="20"/>
              </w:rPr>
              <w:t>Equality of Treatment</w:t>
            </w:r>
            <w:r w:rsidR="007115F7" w:rsidRPr="00EA7AEA">
              <w:rPr>
                <w:rFonts w:cs="Arial"/>
                <w:b/>
                <w:sz w:val="20"/>
                <w:szCs w:val="20"/>
              </w:rPr>
              <w:t>:</w:t>
            </w:r>
          </w:p>
        </w:tc>
        <w:tc>
          <w:tcPr>
            <w:tcW w:w="6724" w:type="dxa"/>
          </w:tcPr>
          <w:p w:rsidR="00CF4869" w:rsidRPr="00EA7AEA" w:rsidRDefault="00CF4869" w:rsidP="002C5D5B">
            <w:pPr>
              <w:autoSpaceDE w:val="0"/>
              <w:autoSpaceDN w:val="0"/>
              <w:adjustRightInd w:val="0"/>
              <w:spacing w:before="60" w:after="60"/>
              <w:jc w:val="both"/>
              <w:rPr>
                <w:rFonts w:cs="Arial"/>
                <w:sz w:val="20"/>
                <w:szCs w:val="20"/>
              </w:rPr>
            </w:pPr>
            <w:r w:rsidRPr="00EA7AEA">
              <w:rPr>
                <w:rFonts w:cs="Arial"/>
                <w:sz w:val="20"/>
                <w:szCs w:val="20"/>
              </w:rPr>
              <w:t xml:space="preserve">The </w:t>
            </w:r>
            <w:r w:rsidR="00D4121E" w:rsidRPr="00EA7AEA">
              <w:rPr>
                <w:rFonts w:cs="Arial"/>
                <w:sz w:val="20"/>
                <w:szCs w:val="20"/>
              </w:rPr>
              <w:t>G</w:t>
            </w:r>
            <w:r w:rsidRPr="00EA7AEA">
              <w:rPr>
                <w:rFonts w:cs="Arial"/>
                <w:sz w:val="20"/>
                <w:szCs w:val="20"/>
              </w:rPr>
              <w:t>CCG will not favour a particular market sector i.e. public over private.  Award decisions will always be taken based on a bidders ability to deliver the service rather than on the organisational type.</w:t>
            </w:r>
          </w:p>
        </w:tc>
      </w:tr>
      <w:tr w:rsidR="00BE69CE" w:rsidRPr="00EA7AEA" w:rsidTr="002C5D5B">
        <w:tc>
          <w:tcPr>
            <w:tcW w:w="2518" w:type="dxa"/>
            <w:vMerge/>
          </w:tcPr>
          <w:p w:rsidR="00CF4869" w:rsidRPr="00EA7AEA" w:rsidRDefault="00CF4869" w:rsidP="006F0A88">
            <w:pPr>
              <w:autoSpaceDE w:val="0"/>
              <w:autoSpaceDN w:val="0"/>
              <w:adjustRightInd w:val="0"/>
              <w:jc w:val="both"/>
              <w:rPr>
                <w:rFonts w:cs="Arial"/>
                <w:sz w:val="20"/>
                <w:szCs w:val="20"/>
              </w:rPr>
            </w:pPr>
          </w:p>
        </w:tc>
        <w:tc>
          <w:tcPr>
            <w:tcW w:w="6724" w:type="dxa"/>
          </w:tcPr>
          <w:p w:rsidR="00CF4869" w:rsidRPr="00EA7AEA" w:rsidRDefault="00CF4869" w:rsidP="002C5D5B">
            <w:pPr>
              <w:autoSpaceDE w:val="0"/>
              <w:autoSpaceDN w:val="0"/>
              <w:adjustRightInd w:val="0"/>
              <w:spacing w:before="60" w:after="60"/>
              <w:jc w:val="both"/>
              <w:rPr>
                <w:rFonts w:cs="Arial"/>
                <w:sz w:val="20"/>
                <w:szCs w:val="20"/>
              </w:rPr>
            </w:pPr>
            <w:r w:rsidRPr="00EA7AEA">
              <w:rPr>
                <w:rFonts w:cs="Arial"/>
                <w:sz w:val="20"/>
                <w:szCs w:val="20"/>
              </w:rPr>
              <w:t>Finance and quality assurance checks will be applied equally to all bidders</w:t>
            </w:r>
          </w:p>
        </w:tc>
      </w:tr>
      <w:tr w:rsidR="00CF4869" w:rsidRPr="00EA7AEA" w:rsidTr="002C5D5B">
        <w:tc>
          <w:tcPr>
            <w:tcW w:w="2518" w:type="dxa"/>
            <w:vMerge/>
          </w:tcPr>
          <w:p w:rsidR="00CF4869" w:rsidRPr="00EA7AEA" w:rsidRDefault="00CF4869" w:rsidP="006F0A88">
            <w:pPr>
              <w:autoSpaceDE w:val="0"/>
              <w:autoSpaceDN w:val="0"/>
              <w:adjustRightInd w:val="0"/>
              <w:jc w:val="both"/>
              <w:rPr>
                <w:rFonts w:cs="Arial"/>
                <w:sz w:val="20"/>
                <w:szCs w:val="20"/>
              </w:rPr>
            </w:pPr>
          </w:p>
        </w:tc>
        <w:tc>
          <w:tcPr>
            <w:tcW w:w="6724" w:type="dxa"/>
          </w:tcPr>
          <w:p w:rsidR="00CF4869" w:rsidRPr="00EA7AEA" w:rsidRDefault="00CF4869" w:rsidP="002C5D5B">
            <w:pPr>
              <w:autoSpaceDE w:val="0"/>
              <w:autoSpaceDN w:val="0"/>
              <w:adjustRightInd w:val="0"/>
              <w:spacing w:before="60" w:after="60"/>
              <w:jc w:val="both"/>
              <w:rPr>
                <w:rFonts w:cs="Arial"/>
                <w:sz w:val="20"/>
                <w:szCs w:val="20"/>
              </w:rPr>
            </w:pPr>
            <w:r w:rsidRPr="00EA7AEA">
              <w:rPr>
                <w:rFonts w:cs="Arial"/>
                <w:sz w:val="20"/>
                <w:szCs w:val="20"/>
              </w:rPr>
              <w:t>Bidders will be expected to operate under this</w:t>
            </w:r>
          </w:p>
        </w:tc>
      </w:tr>
    </w:tbl>
    <w:p w:rsidR="005D043D" w:rsidRPr="00EA7AEA" w:rsidRDefault="005D043D" w:rsidP="005D043D">
      <w:pPr>
        <w:pStyle w:val="ListParagraph"/>
        <w:autoSpaceDE w:val="0"/>
        <w:autoSpaceDN w:val="0"/>
        <w:adjustRightInd w:val="0"/>
        <w:ind w:left="709"/>
        <w:jc w:val="both"/>
        <w:rPr>
          <w:rFonts w:cs="Arial"/>
          <w:u w:val="single"/>
        </w:rPr>
      </w:pPr>
    </w:p>
    <w:p w:rsidR="00A94452" w:rsidRPr="00EA7AEA" w:rsidRDefault="00A94452" w:rsidP="005D043D">
      <w:pPr>
        <w:pStyle w:val="ListParagraph"/>
        <w:autoSpaceDE w:val="0"/>
        <w:autoSpaceDN w:val="0"/>
        <w:adjustRightInd w:val="0"/>
        <w:ind w:left="709"/>
        <w:jc w:val="both"/>
        <w:rPr>
          <w:rFonts w:cs="Arial"/>
          <w:u w:val="single"/>
        </w:rPr>
      </w:pPr>
    </w:p>
    <w:p w:rsidR="006C4644" w:rsidRPr="00EA7AEA" w:rsidRDefault="00DD1E63" w:rsidP="00264B71">
      <w:pPr>
        <w:pStyle w:val="ListParagraph"/>
        <w:numPr>
          <w:ilvl w:val="0"/>
          <w:numId w:val="3"/>
        </w:numPr>
        <w:autoSpaceDE w:val="0"/>
        <w:autoSpaceDN w:val="0"/>
        <w:adjustRightInd w:val="0"/>
        <w:ind w:left="709" w:hanging="709"/>
        <w:jc w:val="both"/>
        <w:rPr>
          <w:rFonts w:cs="Arial"/>
          <w:u w:val="single"/>
        </w:rPr>
      </w:pPr>
      <w:r w:rsidRPr="00EA7AEA">
        <w:rPr>
          <w:rFonts w:cs="Arial"/>
          <w:u w:val="single"/>
        </w:rPr>
        <w:t xml:space="preserve">Commissioning Strategy / </w:t>
      </w:r>
      <w:r w:rsidR="00D4121E" w:rsidRPr="00EA7AEA">
        <w:rPr>
          <w:rFonts w:cs="Arial"/>
          <w:u w:val="single"/>
        </w:rPr>
        <w:t>G</w:t>
      </w:r>
      <w:r w:rsidRPr="00EA7AEA">
        <w:rPr>
          <w:rFonts w:cs="Arial"/>
          <w:u w:val="single"/>
        </w:rPr>
        <w:t>CCG Procurement Intentions:</w:t>
      </w:r>
    </w:p>
    <w:p w:rsidR="001878EE" w:rsidRPr="00EA7AEA" w:rsidRDefault="001878EE" w:rsidP="006F0A88">
      <w:pPr>
        <w:autoSpaceDE w:val="0"/>
        <w:autoSpaceDN w:val="0"/>
        <w:adjustRightInd w:val="0"/>
        <w:jc w:val="both"/>
        <w:rPr>
          <w:rFonts w:cs="Arial"/>
        </w:rPr>
      </w:pPr>
    </w:p>
    <w:p w:rsidR="000A3B62" w:rsidRPr="00EA7AEA" w:rsidRDefault="000A3B62" w:rsidP="000A3B62">
      <w:pPr>
        <w:autoSpaceDE w:val="0"/>
        <w:autoSpaceDN w:val="0"/>
        <w:adjustRightInd w:val="0"/>
        <w:jc w:val="both"/>
        <w:rPr>
          <w:rFonts w:cs="Arial"/>
          <w:bCs/>
        </w:rPr>
      </w:pPr>
      <w:r w:rsidRPr="00EA7AEA">
        <w:rPr>
          <w:rFonts w:cs="Arial"/>
          <w:bCs/>
        </w:rPr>
        <w:t xml:space="preserve">Procurement schemes undertaken are determined by the </w:t>
      </w:r>
      <w:r w:rsidR="00D4121E" w:rsidRPr="00EA7AEA">
        <w:rPr>
          <w:rFonts w:cs="Arial"/>
          <w:bCs/>
        </w:rPr>
        <w:t>G</w:t>
      </w:r>
      <w:r w:rsidRPr="00EA7AEA">
        <w:rPr>
          <w:rFonts w:cs="Arial"/>
          <w:bCs/>
        </w:rPr>
        <w:t xml:space="preserve">CCG and are dependent on its annual Commissioning Intentions. </w:t>
      </w:r>
    </w:p>
    <w:p w:rsidR="00AD04DE" w:rsidRPr="00EA7AEA" w:rsidRDefault="00AD04DE" w:rsidP="006F0A88">
      <w:pPr>
        <w:autoSpaceDE w:val="0"/>
        <w:autoSpaceDN w:val="0"/>
        <w:adjustRightInd w:val="0"/>
        <w:jc w:val="both"/>
        <w:rPr>
          <w:rFonts w:cs="Arial"/>
        </w:rPr>
      </w:pPr>
    </w:p>
    <w:p w:rsidR="00412026" w:rsidRPr="00EA7AEA" w:rsidRDefault="00412026" w:rsidP="006F0A88">
      <w:pPr>
        <w:autoSpaceDE w:val="0"/>
        <w:autoSpaceDN w:val="0"/>
        <w:adjustRightInd w:val="0"/>
        <w:jc w:val="both"/>
        <w:rPr>
          <w:rFonts w:cs="Arial"/>
        </w:rPr>
      </w:pPr>
    </w:p>
    <w:p w:rsidR="001878EE" w:rsidRPr="00EA7AEA" w:rsidRDefault="004D2624" w:rsidP="00264B71">
      <w:pPr>
        <w:pStyle w:val="ListParagraph"/>
        <w:numPr>
          <w:ilvl w:val="0"/>
          <w:numId w:val="3"/>
        </w:numPr>
        <w:autoSpaceDE w:val="0"/>
        <w:autoSpaceDN w:val="0"/>
        <w:adjustRightInd w:val="0"/>
        <w:ind w:left="709" w:hanging="709"/>
        <w:jc w:val="both"/>
        <w:rPr>
          <w:rFonts w:cs="Arial"/>
          <w:u w:val="single"/>
        </w:rPr>
      </w:pPr>
      <w:r w:rsidRPr="00EA7AEA">
        <w:rPr>
          <w:rFonts w:cs="Arial"/>
          <w:u w:val="single"/>
        </w:rPr>
        <w:t>When to Procure</w:t>
      </w:r>
      <w:r w:rsidR="00A94452" w:rsidRPr="00EA7AEA">
        <w:rPr>
          <w:rFonts w:cs="Arial"/>
          <w:u w:val="single"/>
        </w:rPr>
        <w:t xml:space="preserve"> (see Part B – Contestability Framework)</w:t>
      </w:r>
      <w:r w:rsidRPr="00EA7AEA">
        <w:rPr>
          <w:rFonts w:cs="Arial"/>
          <w:u w:val="single"/>
        </w:rPr>
        <w:t>:</w:t>
      </w:r>
    </w:p>
    <w:p w:rsidR="004D2624" w:rsidRPr="00EA7AEA" w:rsidRDefault="004D2624" w:rsidP="004D2624">
      <w:pPr>
        <w:autoSpaceDE w:val="0"/>
        <w:autoSpaceDN w:val="0"/>
        <w:adjustRightInd w:val="0"/>
        <w:jc w:val="both"/>
        <w:rPr>
          <w:rFonts w:cs="Arial"/>
        </w:rPr>
      </w:pPr>
    </w:p>
    <w:p w:rsidR="000A3B62" w:rsidRPr="00EA7AEA" w:rsidRDefault="000A3B62" w:rsidP="000A3B62">
      <w:pPr>
        <w:autoSpaceDE w:val="0"/>
        <w:autoSpaceDN w:val="0"/>
        <w:adjustRightInd w:val="0"/>
        <w:jc w:val="both"/>
        <w:rPr>
          <w:rFonts w:cs="Arial"/>
        </w:rPr>
      </w:pPr>
      <w:r w:rsidRPr="00EA7AEA">
        <w:rPr>
          <w:rFonts w:cs="Arial"/>
        </w:rPr>
        <w:t xml:space="preserve">The </w:t>
      </w:r>
      <w:r w:rsidR="00D4121E" w:rsidRPr="00EA7AEA">
        <w:rPr>
          <w:rFonts w:cs="Arial"/>
        </w:rPr>
        <w:t>G</w:t>
      </w:r>
      <w:r w:rsidRPr="00EA7AEA">
        <w:rPr>
          <w:rFonts w:cs="Arial"/>
        </w:rPr>
        <w:t>CCG as a Public Sector Contracting Authority is governed under the EU Procurement Directive and the following thresholds apply since 1</w:t>
      </w:r>
      <w:r w:rsidRPr="00EA7AEA">
        <w:rPr>
          <w:rFonts w:cs="Arial"/>
          <w:vertAlign w:val="superscript"/>
        </w:rPr>
        <w:t>st</w:t>
      </w:r>
      <w:r w:rsidRPr="00EA7AEA">
        <w:rPr>
          <w:rFonts w:cs="Arial"/>
        </w:rPr>
        <w:t xml:space="preserve"> January 2012 (subject to on-going review):</w:t>
      </w:r>
    </w:p>
    <w:p w:rsidR="00AD04DE" w:rsidRPr="00EA7AEA" w:rsidRDefault="00AD04DE" w:rsidP="004D2624">
      <w:pPr>
        <w:autoSpaceDE w:val="0"/>
        <w:autoSpaceDN w:val="0"/>
        <w:adjustRightInd w:val="0"/>
        <w:jc w:val="both"/>
        <w:rPr>
          <w:rFonts w:cs="Arial"/>
        </w:rPr>
      </w:pPr>
    </w:p>
    <w:p w:rsidR="00412026" w:rsidRPr="00EA7AEA" w:rsidRDefault="00412026" w:rsidP="004D2624">
      <w:pPr>
        <w:autoSpaceDE w:val="0"/>
        <w:autoSpaceDN w:val="0"/>
        <w:adjustRightInd w:val="0"/>
        <w:jc w:val="both"/>
        <w:rPr>
          <w:rFonts w:cs="Arial"/>
        </w:rPr>
      </w:pPr>
    </w:p>
    <w:p w:rsidR="004D2624" w:rsidRPr="00EA7AEA" w:rsidRDefault="004D2624" w:rsidP="00264B71">
      <w:pPr>
        <w:pStyle w:val="ListParagraph"/>
        <w:numPr>
          <w:ilvl w:val="0"/>
          <w:numId w:val="3"/>
        </w:numPr>
        <w:autoSpaceDE w:val="0"/>
        <w:autoSpaceDN w:val="0"/>
        <w:adjustRightInd w:val="0"/>
        <w:ind w:left="709" w:hanging="709"/>
        <w:jc w:val="both"/>
        <w:rPr>
          <w:rFonts w:cs="Arial"/>
          <w:u w:val="single"/>
        </w:rPr>
      </w:pPr>
      <w:r w:rsidRPr="00EA7AEA">
        <w:rPr>
          <w:rFonts w:cs="Arial"/>
          <w:u w:val="single"/>
        </w:rPr>
        <w:t>Procurement Processes / Procedures</w:t>
      </w:r>
      <w:r w:rsidR="00A94452" w:rsidRPr="00EA7AEA">
        <w:rPr>
          <w:rFonts w:cs="Arial"/>
          <w:u w:val="single"/>
        </w:rPr>
        <w:t xml:space="preserve"> (including Any Qualified Provider)</w:t>
      </w:r>
      <w:r w:rsidRPr="00EA7AEA">
        <w:rPr>
          <w:rFonts w:cs="Arial"/>
          <w:u w:val="single"/>
        </w:rPr>
        <w:t>:</w:t>
      </w:r>
    </w:p>
    <w:p w:rsidR="001878EE" w:rsidRPr="00EA7AEA" w:rsidRDefault="001878EE" w:rsidP="006F0A88">
      <w:pPr>
        <w:autoSpaceDE w:val="0"/>
        <w:autoSpaceDN w:val="0"/>
        <w:adjustRightInd w:val="0"/>
        <w:jc w:val="both"/>
        <w:rPr>
          <w:rFonts w:cs="Arial"/>
        </w:rPr>
      </w:pPr>
    </w:p>
    <w:p w:rsidR="000A3B62" w:rsidRPr="00EA7AEA" w:rsidRDefault="000A3B62" w:rsidP="000A3B62">
      <w:pPr>
        <w:autoSpaceDE w:val="0"/>
        <w:autoSpaceDN w:val="0"/>
        <w:adjustRightInd w:val="0"/>
        <w:jc w:val="both"/>
        <w:rPr>
          <w:rFonts w:cs="Arial"/>
        </w:rPr>
      </w:pPr>
      <w:r w:rsidRPr="00EA7AEA">
        <w:rPr>
          <w:rFonts w:cs="Arial"/>
        </w:rPr>
        <w:t xml:space="preserve">The procurement process starts from identification of need, the decision </w:t>
      </w:r>
      <w:r w:rsidR="006F4C7D" w:rsidRPr="00EA7AEA">
        <w:rPr>
          <w:rFonts w:cs="Arial"/>
        </w:rPr>
        <w:t xml:space="preserve">to </w:t>
      </w:r>
      <w:r w:rsidRPr="00EA7AEA">
        <w:rPr>
          <w:rFonts w:cs="Arial"/>
        </w:rPr>
        <w:t>tender through to the conclusion of a services contract and its on-going management. The development and management of provider markets to ensure capacity and capability is essential.</w:t>
      </w:r>
    </w:p>
    <w:p w:rsidR="000A3B62" w:rsidRPr="00EA7AEA" w:rsidRDefault="000A3B62" w:rsidP="000A3B62">
      <w:pPr>
        <w:autoSpaceDE w:val="0"/>
        <w:autoSpaceDN w:val="0"/>
        <w:adjustRightInd w:val="0"/>
        <w:jc w:val="both"/>
        <w:rPr>
          <w:rFonts w:cs="Arial"/>
        </w:rPr>
      </w:pPr>
    </w:p>
    <w:p w:rsidR="000A3B62" w:rsidRPr="00EA7AEA" w:rsidRDefault="000A3B62" w:rsidP="000A3B62">
      <w:pPr>
        <w:autoSpaceDE w:val="0"/>
        <w:autoSpaceDN w:val="0"/>
        <w:adjustRightInd w:val="0"/>
        <w:jc w:val="both"/>
        <w:rPr>
          <w:rFonts w:cs="Arial"/>
        </w:rPr>
      </w:pPr>
      <w:r w:rsidRPr="00EA7AEA">
        <w:rPr>
          <w:rFonts w:cs="Arial"/>
        </w:rPr>
        <w:t xml:space="preserve">This Procurement Strategy has been developed to support consistent and transparent decision making within </w:t>
      </w:r>
      <w:r w:rsidR="00D4121E" w:rsidRPr="00EA7AEA">
        <w:rPr>
          <w:rFonts w:cs="Arial"/>
        </w:rPr>
        <w:t>the GCCG</w:t>
      </w:r>
      <w:r w:rsidRPr="00EA7AEA">
        <w:rPr>
          <w:rFonts w:cs="Arial"/>
        </w:rPr>
        <w:t xml:space="preserve"> when commissioning health</w:t>
      </w:r>
      <w:r w:rsidR="00E46443" w:rsidRPr="00EA7AEA">
        <w:rPr>
          <w:rFonts w:cs="Arial"/>
        </w:rPr>
        <w:t xml:space="preserve"> </w:t>
      </w:r>
      <w:r w:rsidRPr="00EA7AEA">
        <w:rPr>
          <w:rFonts w:cs="Arial"/>
        </w:rPr>
        <w:t>care services.</w:t>
      </w:r>
    </w:p>
    <w:p w:rsidR="000A3B62" w:rsidRPr="00EA7AEA" w:rsidRDefault="000A3B62" w:rsidP="000A3B62">
      <w:pPr>
        <w:autoSpaceDE w:val="0"/>
        <w:autoSpaceDN w:val="0"/>
        <w:adjustRightInd w:val="0"/>
        <w:jc w:val="both"/>
        <w:rPr>
          <w:rFonts w:cs="Arial"/>
        </w:rPr>
      </w:pPr>
    </w:p>
    <w:p w:rsidR="000A3B62" w:rsidRPr="00EA7AEA" w:rsidRDefault="000A3B62" w:rsidP="000A3B62">
      <w:pPr>
        <w:autoSpaceDE w:val="0"/>
        <w:autoSpaceDN w:val="0"/>
        <w:adjustRightInd w:val="0"/>
        <w:jc w:val="both"/>
        <w:rPr>
          <w:rFonts w:cs="Arial"/>
        </w:rPr>
      </w:pPr>
      <w:r w:rsidRPr="00EA7AEA">
        <w:rPr>
          <w:rFonts w:cs="Arial"/>
        </w:rPr>
        <w:t xml:space="preserve">The Procurement Strategy will identify the systems and procedures required for the </w:t>
      </w:r>
      <w:r w:rsidR="00D4121E" w:rsidRPr="00EA7AEA">
        <w:rPr>
          <w:rFonts w:cs="Arial"/>
        </w:rPr>
        <w:t>G</w:t>
      </w:r>
      <w:r w:rsidRPr="00EA7AEA">
        <w:rPr>
          <w:rFonts w:cs="Arial"/>
        </w:rPr>
        <w:t>CCG to meet patient needs, demonstrate quality, governance and probity, good procurement practice and achieve value for money by delivering cost effective high quality services.</w:t>
      </w:r>
    </w:p>
    <w:p w:rsidR="000A3B62" w:rsidRPr="00EA7AEA" w:rsidRDefault="000A3B62" w:rsidP="000A3B62">
      <w:pPr>
        <w:autoSpaceDE w:val="0"/>
        <w:autoSpaceDN w:val="0"/>
        <w:adjustRightInd w:val="0"/>
        <w:jc w:val="both"/>
        <w:rPr>
          <w:rFonts w:cs="Arial"/>
        </w:rPr>
      </w:pPr>
    </w:p>
    <w:p w:rsidR="000A3B62" w:rsidRPr="00EA7AEA" w:rsidRDefault="00D4121E" w:rsidP="000A3B62">
      <w:pPr>
        <w:autoSpaceDE w:val="0"/>
        <w:autoSpaceDN w:val="0"/>
        <w:adjustRightInd w:val="0"/>
        <w:jc w:val="both"/>
        <w:rPr>
          <w:rFonts w:cs="Arial"/>
        </w:rPr>
      </w:pPr>
      <w:r w:rsidRPr="00EA7AEA">
        <w:rPr>
          <w:rFonts w:cs="Arial"/>
        </w:rPr>
        <w:t>The GCCG’s</w:t>
      </w:r>
      <w:r w:rsidR="000A3B62" w:rsidRPr="00EA7AEA">
        <w:rPr>
          <w:rFonts w:cs="Arial"/>
        </w:rPr>
        <w:t xml:space="preserve"> aim is to improve the quality and accessibility of services to patients through a process of service review, robust contracting, key performance indicators (KPIs) and </w:t>
      </w:r>
      <w:r w:rsidR="000A3B62" w:rsidRPr="00EA7AEA">
        <w:rPr>
          <w:rFonts w:cs="Arial"/>
        </w:rPr>
        <w:lastRenderedPageBreak/>
        <w:t xml:space="preserve">provider development activity. The </w:t>
      </w:r>
      <w:r w:rsidRPr="00EA7AEA">
        <w:rPr>
          <w:rFonts w:cs="Arial"/>
        </w:rPr>
        <w:t>G</w:t>
      </w:r>
      <w:r w:rsidR="000A3B62" w:rsidRPr="00EA7AEA">
        <w:rPr>
          <w:rFonts w:cs="Arial"/>
        </w:rPr>
        <w:t>CG will work to develop provider markets as well as working with existing providers to improve service quality.</w:t>
      </w:r>
    </w:p>
    <w:p w:rsidR="000A3B62" w:rsidRPr="00EA7AEA" w:rsidRDefault="000A3B62" w:rsidP="006F0A88">
      <w:pPr>
        <w:autoSpaceDE w:val="0"/>
        <w:autoSpaceDN w:val="0"/>
        <w:adjustRightInd w:val="0"/>
        <w:jc w:val="both"/>
        <w:rPr>
          <w:rFonts w:cs="Arial"/>
        </w:rPr>
      </w:pPr>
    </w:p>
    <w:p w:rsidR="000A3B62" w:rsidRPr="00EA7AEA" w:rsidRDefault="000A3B62" w:rsidP="000A3B62">
      <w:pPr>
        <w:autoSpaceDE w:val="0"/>
        <w:autoSpaceDN w:val="0"/>
        <w:adjustRightInd w:val="0"/>
        <w:jc w:val="both"/>
        <w:rPr>
          <w:rFonts w:cs="Arial"/>
        </w:rPr>
      </w:pPr>
      <w:r w:rsidRPr="00EA7AEA">
        <w:rPr>
          <w:rFonts w:cs="Arial"/>
        </w:rPr>
        <w:t>Once a decision has been made to procure</w:t>
      </w:r>
      <w:r w:rsidR="00D64569" w:rsidRPr="00EA7AEA">
        <w:rPr>
          <w:rFonts w:cs="Arial"/>
        </w:rPr>
        <w:t>,</w:t>
      </w:r>
      <w:r w:rsidRPr="00EA7AEA">
        <w:rPr>
          <w:rFonts w:cs="Arial"/>
        </w:rPr>
        <w:t xml:space="preserve"> the main procurement routes available to the </w:t>
      </w:r>
      <w:r w:rsidR="00D4121E" w:rsidRPr="00EA7AEA">
        <w:rPr>
          <w:rFonts w:cs="Arial"/>
        </w:rPr>
        <w:t>G</w:t>
      </w:r>
      <w:r w:rsidRPr="00EA7AEA">
        <w:rPr>
          <w:rFonts w:cs="Arial"/>
        </w:rPr>
        <w:t xml:space="preserve">CCG are detailed below. Advice should be sought from </w:t>
      </w:r>
      <w:r w:rsidR="00D4121E" w:rsidRPr="00EA7AEA">
        <w:rPr>
          <w:rFonts w:cs="Arial"/>
        </w:rPr>
        <w:t>G</w:t>
      </w:r>
      <w:r w:rsidRPr="00EA7AEA">
        <w:rPr>
          <w:rFonts w:cs="Arial"/>
        </w:rPr>
        <w:t>CCG procurement staffs on the most appropriate route for each service tender.</w:t>
      </w:r>
    </w:p>
    <w:p w:rsidR="000A3B62" w:rsidRPr="00EA7AEA" w:rsidRDefault="000A3B62" w:rsidP="000A3B62">
      <w:pPr>
        <w:autoSpaceDE w:val="0"/>
        <w:autoSpaceDN w:val="0"/>
        <w:adjustRightInd w:val="0"/>
        <w:jc w:val="both"/>
        <w:rPr>
          <w:rFonts w:cs="Arial"/>
          <w:b/>
          <w:bCs/>
        </w:rPr>
      </w:pPr>
    </w:p>
    <w:p w:rsidR="005D043D" w:rsidRPr="00EA7AEA" w:rsidRDefault="005D043D" w:rsidP="000A3B62">
      <w:pPr>
        <w:autoSpaceDE w:val="0"/>
        <w:autoSpaceDN w:val="0"/>
        <w:adjustRightInd w:val="0"/>
        <w:jc w:val="both"/>
        <w:rPr>
          <w:rFonts w:cs="Arial"/>
          <w:b/>
          <w:bCs/>
        </w:rPr>
      </w:pPr>
    </w:p>
    <w:tbl>
      <w:tblPr>
        <w:tblStyle w:val="TableGrid"/>
        <w:tblW w:w="0" w:type="auto"/>
        <w:tblLayout w:type="fixed"/>
        <w:tblLook w:val="04A0" w:firstRow="1" w:lastRow="0" w:firstColumn="1" w:lastColumn="0" w:noHBand="0" w:noVBand="1"/>
      </w:tblPr>
      <w:tblGrid>
        <w:gridCol w:w="1668"/>
        <w:gridCol w:w="7574"/>
      </w:tblGrid>
      <w:tr w:rsidR="00BE69CE" w:rsidRPr="00EA7AEA" w:rsidTr="00376CE4">
        <w:tc>
          <w:tcPr>
            <w:tcW w:w="1668" w:type="dxa"/>
            <w:shd w:val="clear" w:color="auto" w:fill="B8CCE4" w:themeFill="accent1" w:themeFillTint="66"/>
          </w:tcPr>
          <w:p w:rsidR="00376CE4" w:rsidRPr="00EA7AEA" w:rsidRDefault="00376CE4" w:rsidP="00376CE4">
            <w:pPr>
              <w:autoSpaceDE w:val="0"/>
              <w:autoSpaceDN w:val="0"/>
              <w:adjustRightInd w:val="0"/>
              <w:jc w:val="both"/>
              <w:rPr>
                <w:rFonts w:cs="Arial"/>
                <w:b/>
                <w:bCs/>
                <w:sz w:val="20"/>
                <w:szCs w:val="20"/>
              </w:rPr>
            </w:pPr>
          </w:p>
          <w:p w:rsidR="000A3B62" w:rsidRPr="00EA7AEA" w:rsidRDefault="000A3B62" w:rsidP="00376CE4">
            <w:pPr>
              <w:autoSpaceDE w:val="0"/>
              <w:autoSpaceDN w:val="0"/>
              <w:adjustRightInd w:val="0"/>
              <w:jc w:val="both"/>
              <w:rPr>
                <w:rFonts w:cs="Arial"/>
                <w:b/>
                <w:bCs/>
                <w:sz w:val="20"/>
                <w:szCs w:val="20"/>
              </w:rPr>
            </w:pPr>
            <w:r w:rsidRPr="00EA7AEA">
              <w:rPr>
                <w:rFonts w:cs="Arial"/>
                <w:b/>
                <w:bCs/>
                <w:sz w:val="20"/>
                <w:szCs w:val="20"/>
              </w:rPr>
              <w:t>Procedure/</w:t>
            </w:r>
            <w:r w:rsidR="00376CE4" w:rsidRPr="00EA7AEA">
              <w:rPr>
                <w:rFonts w:cs="Arial"/>
                <w:b/>
                <w:bCs/>
                <w:sz w:val="20"/>
                <w:szCs w:val="20"/>
              </w:rPr>
              <w:t xml:space="preserve"> </w:t>
            </w:r>
            <w:r w:rsidRPr="00EA7AEA">
              <w:rPr>
                <w:rFonts w:cs="Arial"/>
                <w:b/>
                <w:bCs/>
                <w:sz w:val="20"/>
                <w:szCs w:val="20"/>
              </w:rPr>
              <w:t>Process:</w:t>
            </w:r>
          </w:p>
          <w:p w:rsidR="00376CE4" w:rsidRPr="00EA7AEA" w:rsidRDefault="00376CE4" w:rsidP="00376CE4">
            <w:pPr>
              <w:autoSpaceDE w:val="0"/>
              <w:autoSpaceDN w:val="0"/>
              <w:adjustRightInd w:val="0"/>
              <w:jc w:val="both"/>
              <w:rPr>
                <w:rFonts w:cs="Arial"/>
                <w:b/>
                <w:bCs/>
                <w:sz w:val="20"/>
                <w:szCs w:val="20"/>
              </w:rPr>
            </w:pPr>
          </w:p>
        </w:tc>
        <w:tc>
          <w:tcPr>
            <w:tcW w:w="7574" w:type="dxa"/>
            <w:shd w:val="clear" w:color="auto" w:fill="B8CCE4" w:themeFill="accent1" w:themeFillTint="66"/>
          </w:tcPr>
          <w:p w:rsidR="00376CE4" w:rsidRPr="00EA7AEA" w:rsidRDefault="00376CE4" w:rsidP="00376CE4">
            <w:pPr>
              <w:autoSpaceDE w:val="0"/>
              <w:autoSpaceDN w:val="0"/>
              <w:adjustRightInd w:val="0"/>
              <w:jc w:val="both"/>
              <w:rPr>
                <w:rFonts w:cs="Arial"/>
                <w:b/>
                <w:bCs/>
                <w:sz w:val="20"/>
                <w:szCs w:val="20"/>
              </w:rPr>
            </w:pPr>
          </w:p>
          <w:p w:rsidR="000A3B62" w:rsidRPr="00EA7AEA" w:rsidRDefault="000A3B62" w:rsidP="00376CE4">
            <w:pPr>
              <w:autoSpaceDE w:val="0"/>
              <w:autoSpaceDN w:val="0"/>
              <w:adjustRightInd w:val="0"/>
              <w:jc w:val="both"/>
              <w:rPr>
                <w:rFonts w:cs="Arial"/>
                <w:b/>
                <w:bCs/>
                <w:sz w:val="20"/>
                <w:szCs w:val="20"/>
              </w:rPr>
            </w:pPr>
            <w:r w:rsidRPr="00EA7AEA">
              <w:rPr>
                <w:rFonts w:cs="Arial"/>
                <w:b/>
                <w:bCs/>
                <w:sz w:val="20"/>
                <w:szCs w:val="20"/>
              </w:rPr>
              <w:t>Description:</w:t>
            </w:r>
          </w:p>
        </w:tc>
      </w:tr>
      <w:tr w:rsidR="00BE69CE" w:rsidRPr="00EA7AEA" w:rsidTr="00376CE4">
        <w:tc>
          <w:tcPr>
            <w:tcW w:w="1668" w:type="dxa"/>
          </w:tcPr>
          <w:p w:rsidR="000A3B62" w:rsidRPr="00EA7AEA" w:rsidRDefault="000A3B62" w:rsidP="004E348B">
            <w:pPr>
              <w:autoSpaceDE w:val="0"/>
              <w:autoSpaceDN w:val="0"/>
              <w:adjustRightInd w:val="0"/>
              <w:jc w:val="both"/>
              <w:rPr>
                <w:rFonts w:cs="Arial"/>
                <w:b/>
                <w:bCs/>
                <w:sz w:val="20"/>
                <w:szCs w:val="20"/>
              </w:rPr>
            </w:pPr>
          </w:p>
          <w:p w:rsidR="000A3B62" w:rsidRPr="00EA7AEA" w:rsidRDefault="000A3B62" w:rsidP="004E348B">
            <w:pPr>
              <w:autoSpaceDE w:val="0"/>
              <w:autoSpaceDN w:val="0"/>
              <w:adjustRightInd w:val="0"/>
              <w:jc w:val="both"/>
              <w:rPr>
                <w:rFonts w:cs="Arial"/>
                <w:b/>
                <w:bCs/>
                <w:sz w:val="20"/>
                <w:szCs w:val="20"/>
              </w:rPr>
            </w:pPr>
            <w:r w:rsidRPr="00EA7AEA">
              <w:rPr>
                <w:rFonts w:cs="Arial"/>
                <w:b/>
                <w:bCs/>
                <w:sz w:val="20"/>
                <w:szCs w:val="20"/>
              </w:rPr>
              <w:t xml:space="preserve">Any </w:t>
            </w:r>
          </w:p>
          <w:p w:rsidR="000A3B62" w:rsidRPr="00EA7AEA" w:rsidRDefault="000A3B62" w:rsidP="004E348B">
            <w:pPr>
              <w:autoSpaceDE w:val="0"/>
              <w:autoSpaceDN w:val="0"/>
              <w:adjustRightInd w:val="0"/>
              <w:jc w:val="both"/>
              <w:rPr>
                <w:rFonts w:cs="Arial"/>
                <w:b/>
                <w:bCs/>
                <w:sz w:val="20"/>
                <w:szCs w:val="20"/>
              </w:rPr>
            </w:pPr>
            <w:r w:rsidRPr="00EA7AEA">
              <w:rPr>
                <w:rFonts w:cs="Arial"/>
                <w:b/>
                <w:bCs/>
                <w:sz w:val="20"/>
                <w:szCs w:val="20"/>
              </w:rPr>
              <w:t>Qualified Provider</w:t>
            </w:r>
            <w:r w:rsidR="007115F7" w:rsidRPr="00EA7AEA">
              <w:rPr>
                <w:rFonts w:cs="Arial"/>
                <w:b/>
                <w:bCs/>
                <w:sz w:val="20"/>
                <w:szCs w:val="20"/>
              </w:rPr>
              <w:t>:</w:t>
            </w:r>
          </w:p>
        </w:tc>
        <w:tc>
          <w:tcPr>
            <w:tcW w:w="7574" w:type="dxa"/>
          </w:tcPr>
          <w:p w:rsidR="000A3B62" w:rsidRPr="00EA7AEA" w:rsidRDefault="000A3B62" w:rsidP="004E348B">
            <w:pPr>
              <w:autoSpaceDE w:val="0"/>
              <w:autoSpaceDN w:val="0"/>
              <w:adjustRightInd w:val="0"/>
              <w:jc w:val="both"/>
              <w:rPr>
                <w:rFonts w:cs="Arial"/>
                <w:sz w:val="20"/>
                <w:szCs w:val="20"/>
              </w:rPr>
            </w:pPr>
          </w:p>
          <w:p w:rsidR="000A3B62" w:rsidRPr="00EA7AEA" w:rsidRDefault="000A3B62" w:rsidP="004E348B">
            <w:pPr>
              <w:autoSpaceDE w:val="0"/>
              <w:autoSpaceDN w:val="0"/>
              <w:adjustRightInd w:val="0"/>
              <w:jc w:val="both"/>
              <w:rPr>
                <w:rFonts w:cs="Arial"/>
                <w:sz w:val="20"/>
                <w:szCs w:val="20"/>
              </w:rPr>
            </w:pPr>
            <w:r w:rsidRPr="00EA7AEA">
              <w:rPr>
                <w:rFonts w:cs="Arial"/>
                <w:sz w:val="20"/>
                <w:szCs w:val="20"/>
              </w:rPr>
              <w:t>Allows Commissioners to increase choice to patients by qualifying / registering organisations to provide services via an assurance process that test providers fitness to offer the particular NHS</w:t>
            </w:r>
            <w:r w:rsidRPr="00EA7AEA">
              <w:rPr>
                <w:rFonts w:ascii="Cambria Math" w:hAnsi="Cambria Math" w:cs="Cambria Math"/>
                <w:sz w:val="20"/>
                <w:szCs w:val="20"/>
              </w:rPr>
              <w:t>‐</w:t>
            </w:r>
            <w:r w:rsidRPr="00EA7AEA">
              <w:rPr>
                <w:rFonts w:cs="Arial"/>
                <w:sz w:val="20"/>
                <w:szCs w:val="20"/>
              </w:rPr>
              <w:t>funded service. The Commissioner sets local pathways and referral protocols which providers must accept. Referring clinicians offer patients a choice of qualified provider for the service being referred to. Competition is based on quality not price; providers are paid a fixed price determined by a national or local tariff.</w:t>
            </w:r>
          </w:p>
          <w:p w:rsidR="000A3B62" w:rsidRPr="00EA7AEA" w:rsidRDefault="000A3B62" w:rsidP="004E348B">
            <w:pPr>
              <w:autoSpaceDE w:val="0"/>
              <w:autoSpaceDN w:val="0"/>
              <w:adjustRightInd w:val="0"/>
              <w:jc w:val="both"/>
              <w:rPr>
                <w:rFonts w:cs="Arial"/>
                <w:bCs/>
                <w:sz w:val="20"/>
                <w:szCs w:val="20"/>
              </w:rPr>
            </w:pPr>
          </w:p>
        </w:tc>
      </w:tr>
      <w:tr w:rsidR="00BE69CE" w:rsidRPr="00EA7AEA" w:rsidTr="00376CE4">
        <w:tc>
          <w:tcPr>
            <w:tcW w:w="1668" w:type="dxa"/>
          </w:tcPr>
          <w:p w:rsidR="000A3B62" w:rsidRPr="00EA7AEA" w:rsidRDefault="000A3B62" w:rsidP="004E348B">
            <w:pPr>
              <w:autoSpaceDE w:val="0"/>
              <w:autoSpaceDN w:val="0"/>
              <w:adjustRightInd w:val="0"/>
              <w:jc w:val="both"/>
              <w:rPr>
                <w:rFonts w:cs="Arial"/>
                <w:b/>
                <w:bCs/>
                <w:sz w:val="20"/>
                <w:szCs w:val="20"/>
              </w:rPr>
            </w:pPr>
          </w:p>
          <w:p w:rsidR="000A3B62" w:rsidRPr="00EA7AEA" w:rsidRDefault="000A3B62" w:rsidP="004E348B">
            <w:pPr>
              <w:autoSpaceDE w:val="0"/>
              <w:autoSpaceDN w:val="0"/>
              <w:adjustRightInd w:val="0"/>
              <w:jc w:val="both"/>
              <w:rPr>
                <w:rFonts w:cs="Arial"/>
                <w:b/>
                <w:bCs/>
                <w:sz w:val="20"/>
                <w:szCs w:val="20"/>
              </w:rPr>
            </w:pPr>
            <w:r w:rsidRPr="00EA7AEA">
              <w:rPr>
                <w:rFonts w:cs="Arial"/>
                <w:b/>
                <w:bCs/>
                <w:sz w:val="20"/>
                <w:szCs w:val="20"/>
              </w:rPr>
              <w:t>Competitive Dialogue</w:t>
            </w:r>
            <w:r w:rsidR="007115F7" w:rsidRPr="00EA7AEA">
              <w:rPr>
                <w:rFonts w:cs="Arial"/>
                <w:b/>
                <w:bCs/>
                <w:sz w:val="20"/>
                <w:szCs w:val="20"/>
              </w:rPr>
              <w:t>:</w:t>
            </w:r>
          </w:p>
        </w:tc>
        <w:tc>
          <w:tcPr>
            <w:tcW w:w="7574" w:type="dxa"/>
          </w:tcPr>
          <w:p w:rsidR="000A3B62" w:rsidRPr="00EA7AEA" w:rsidRDefault="000A3B62" w:rsidP="004E348B">
            <w:pPr>
              <w:autoSpaceDE w:val="0"/>
              <w:autoSpaceDN w:val="0"/>
              <w:adjustRightInd w:val="0"/>
              <w:jc w:val="both"/>
              <w:rPr>
                <w:rFonts w:cs="Arial"/>
                <w:sz w:val="20"/>
                <w:szCs w:val="20"/>
              </w:rPr>
            </w:pPr>
          </w:p>
          <w:p w:rsidR="000A3B62" w:rsidRPr="00EA7AEA" w:rsidRDefault="000A3B62" w:rsidP="004E348B">
            <w:pPr>
              <w:autoSpaceDE w:val="0"/>
              <w:autoSpaceDN w:val="0"/>
              <w:adjustRightInd w:val="0"/>
              <w:jc w:val="both"/>
              <w:rPr>
                <w:rFonts w:cs="Arial"/>
                <w:sz w:val="20"/>
                <w:szCs w:val="20"/>
              </w:rPr>
            </w:pPr>
            <w:r w:rsidRPr="00EA7AEA">
              <w:rPr>
                <w:rFonts w:cs="Arial"/>
                <w:sz w:val="20"/>
                <w:szCs w:val="20"/>
              </w:rPr>
              <w:t>Allows input into the tender process by participating bidders.  There will be a ‘Dialogue’ phase where bidders are able to discuss all aspects of the contract with the commissioner. Dialogue generates solutions to the agreed requirements, and tenders are invited based on the bidder’s solution.</w:t>
            </w:r>
          </w:p>
          <w:p w:rsidR="000A3B62" w:rsidRPr="00EA7AEA" w:rsidRDefault="000A3B62" w:rsidP="004E348B">
            <w:pPr>
              <w:autoSpaceDE w:val="0"/>
              <w:autoSpaceDN w:val="0"/>
              <w:adjustRightInd w:val="0"/>
              <w:jc w:val="both"/>
              <w:rPr>
                <w:rFonts w:cs="Arial"/>
                <w:sz w:val="20"/>
                <w:szCs w:val="20"/>
              </w:rPr>
            </w:pPr>
          </w:p>
          <w:p w:rsidR="000A3B62" w:rsidRPr="00EA7AEA" w:rsidRDefault="000A3B62" w:rsidP="004E348B">
            <w:pPr>
              <w:autoSpaceDE w:val="0"/>
              <w:autoSpaceDN w:val="0"/>
              <w:adjustRightInd w:val="0"/>
              <w:jc w:val="both"/>
              <w:rPr>
                <w:rFonts w:cs="Arial"/>
                <w:bCs/>
                <w:sz w:val="20"/>
                <w:szCs w:val="20"/>
              </w:rPr>
            </w:pPr>
            <w:r w:rsidRPr="00EA7AEA">
              <w:rPr>
                <w:rFonts w:cs="Arial"/>
                <w:sz w:val="20"/>
                <w:szCs w:val="20"/>
              </w:rPr>
              <w:t xml:space="preserve">The Competitive Dialogue route should only be used where the </w:t>
            </w:r>
            <w:r w:rsidR="00D4121E" w:rsidRPr="00EA7AEA">
              <w:rPr>
                <w:rFonts w:cs="Arial"/>
                <w:sz w:val="20"/>
                <w:szCs w:val="20"/>
              </w:rPr>
              <w:t>G</w:t>
            </w:r>
            <w:r w:rsidRPr="00EA7AEA">
              <w:rPr>
                <w:rFonts w:cs="Arial"/>
                <w:sz w:val="20"/>
                <w:szCs w:val="20"/>
              </w:rPr>
              <w:t xml:space="preserve">CCG is unable, due to the complexity of its requirements to define the technical means capable of satisfying the </w:t>
            </w:r>
            <w:r w:rsidR="00687B58" w:rsidRPr="00EA7AEA">
              <w:rPr>
                <w:rFonts w:cs="Arial"/>
                <w:sz w:val="20"/>
                <w:szCs w:val="20"/>
              </w:rPr>
              <w:t>G</w:t>
            </w:r>
            <w:r w:rsidRPr="00EA7AEA">
              <w:rPr>
                <w:rFonts w:cs="Arial"/>
                <w:sz w:val="20"/>
                <w:szCs w:val="20"/>
              </w:rPr>
              <w:t>CCG’s needs or objectives, specify either the legal or financial makeup of the project, and where neither the open or restricted procedure would be appropriate for the award of the contract.</w:t>
            </w:r>
          </w:p>
          <w:p w:rsidR="000A3B62" w:rsidRPr="00EA7AEA" w:rsidRDefault="000A3B62" w:rsidP="004E348B">
            <w:pPr>
              <w:autoSpaceDE w:val="0"/>
              <w:autoSpaceDN w:val="0"/>
              <w:adjustRightInd w:val="0"/>
              <w:jc w:val="both"/>
              <w:rPr>
                <w:rFonts w:cs="Arial"/>
                <w:bCs/>
                <w:sz w:val="20"/>
                <w:szCs w:val="20"/>
              </w:rPr>
            </w:pPr>
          </w:p>
        </w:tc>
      </w:tr>
      <w:tr w:rsidR="00BE69CE" w:rsidRPr="00EA7AEA" w:rsidTr="00376CE4">
        <w:tc>
          <w:tcPr>
            <w:tcW w:w="1668" w:type="dxa"/>
          </w:tcPr>
          <w:p w:rsidR="000A3B62" w:rsidRPr="00EA7AEA" w:rsidRDefault="000A3B62" w:rsidP="004E348B">
            <w:pPr>
              <w:autoSpaceDE w:val="0"/>
              <w:autoSpaceDN w:val="0"/>
              <w:adjustRightInd w:val="0"/>
              <w:jc w:val="both"/>
              <w:rPr>
                <w:rFonts w:cs="Arial"/>
                <w:b/>
                <w:bCs/>
                <w:sz w:val="20"/>
                <w:szCs w:val="20"/>
              </w:rPr>
            </w:pPr>
          </w:p>
          <w:p w:rsidR="000A3B62" w:rsidRPr="00EA7AEA" w:rsidRDefault="000A3B62" w:rsidP="004E348B">
            <w:pPr>
              <w:autoSpaceDE w:val="0"/>
              <w:autoSpaceDN w:val="0"/>
              <w:adjustRightInd w:val="0"/>
              <w:jc w:val="both"/>
              <w:rPr>
                <w:rFonts w:cs="Arial"/>
                <w:b/>
                <w:bCs/>
                <w:sz w:val="20"/>
                <w:szCs w:val="20"/>
              </w:rPr>
            </w:pPr>
            <w:r w:rsidRPr="00EA7AEA">
              <w:rPr>
                <w:rFonts w:cs="Arial"/>
                <w:b/>
                <w:bCs/>
                <w:sz w:val="20"/>
                <w:szCs w:val="20"/>
              </w:rPr>
              <w:t>Framework Agreements</w:t>
            </w:r>
            <w:r w:rsidR="007115F7" w:rsidRPr="00EA7AEA">
              <w:rPr>
                <w:rFonts w:cs="Arial"/>
                <w:b/>
                <w:bCs/>
                <w:sz w:val="20"/>
                <w:szCs w:val="20"/>
              </w:rPr>
              <w:t>:</w:t>
            </w:r>
          </w:p>
          <w:p w:rsidR="000A3B62" w:rsidRPr="00EA7AEA" w:rsidRDefault="000A3B62" w:rsidP="004E348B">
            <w:pPr>
              <w:autoSpaceDE w:val="0"/>
              <w:autoSpaceDN w:val="0"/>
              <w:adjustRightInd w:val="0"/>
              <w:jc w:val="both"/>
              <w:rPr>
                <w:rFonts w:cs="Arial"/>
                <w:b/>
                <w:bCs/>
                <w:sz w:val="20"/>
                <w:szCs w:val="20"/>
              </w:rPr>
            </w:pPr>
          </w:p>
        </w:tc>
        <w:tc>
          <w:tcPr>
            <w:tcW w:w="7574" w:type="dxa"/>
          </w:tcPr>
          <w:p w:rsidR="000A3B62" w:rsidRPr="00EA7AEA" w:rsidRDefault="000A3B62" w:rsidP="004E348B">
            <w:pPr>
              <w:autoSpaceDE w:val="0"/>
              <w:autoSpaceDN w:val="0"/>
              <w:adjustRightInd w:val="0"/>
              <w:jc w:val="both"/>
              <w:rPr>
                <w:rFonts w:cs="Arial"/>
                <w:sz w:val="20"/>
                <w:szCs w:val="20"/>
              </w:rPr>
            </w:pPr>
          </w:p>
          <w:p w:rsidR="000A3B62" w:rsidRPr="00EA7AEA" w:rsidRDefault="000A3B62" w:rsidP="004E348B">
            <w:pPr>
              <w:autoSpaceDE w:val="0"/>
              <w:autoSpaceDN w:val="0"/>
              <w:adjustRightInd w:val="0"/>
              <w:jc w:val="both"/>
              <w:rPr>
                <w:rFonts w:cs="Arial"/>
                <w:sz w:val="20"/>
                <w:szCs w:val="20"/>
              </w:rPr>
            </w:pPr>
            <w:r w:rsidRPr="00EA7AEA">
              <w:rPr>
                <w:rFonts w:cs="Arial"/>
                <w:sz w:val="20"/>
                <w:szCs w:val="20"/>
              </w:rPr>
              <w:t xml:space="preserve">Although currently limited in scope for clinical services applications, the </w:t>
            </w:r>
            <w:r w:rsidR="00D4121E" w:rsidRPr="00EA7AEA">
              <w:rPr>
                <w:rFonts w:cs="Arial"/>
                <w:sz w:val="20"/>
                <w:szCs w:val="20"/>
              </w:rPr>
              <w:t>G</w:t>
            </w:r>
            <w:r w:rsidRPr="00EA7AEA">
              <w:rPr>
                <w:rFonts w:cs="Arial"/>
                <w:sz w:val="20"/>
                <w:szCs w:val="20"/>
              </w:rPr>
              <w:t xml:space="preserve">CCG is permitted to access nationally negotiated framework agreements where appropriate.  </w:t>
            </w:r>
            <w:r w:rsidR="00D4121E" w:rsidRPr="00EA7AEA">
              <w:rPr>
                <w:rFonts w:cs="Arial"/>
                <w:sz w:val="20"/>
                <w:szCs w:val="20"/>
              </w:rPr>
              <w:t>G</w:t>
            </w:r>
            <w:r w:rsidRPr="00EA7AEA">
              <w:rPr>
                <w:rFonts w:cs="Arial"/>
                <w:sz w:val="20"/>
                <w:szCs w:val="20"/>
              </w:rPr>
              <w:t>CCG must conduct a mini-competition within the framework to select the most appropriate service provider where such framework rules apply.</w:t>
            </w:r>
          </w:p>
          <w:p w:rsidR="004E348B" w:rsidRPr="00EA7AEA" w:rsidRDefault="004E348B" w:rsidP="004E348B">
            <w:pPr>
              <w:autoSpaceDE w:val="0"/>
              <w:autoSpaceDN w:val="0"/>
              <w:adjustRightInd w:val="0"/>
              <w:jc w:val="both"/>
              <w:rPr>
                <w:rFonts w:cs="Arial"/>
                <w:sz w:val="20"/>
                <w:szCs w:val="20"/>
              </w:rPr>
            </w:pPr>
          </w:p>
        </w:tc>
      </w:tr>
      <w:tr w:rsidR="00BE69CE" w:rsidRPr="00EA7AEA" w:rsidTr="00376CE4">
        <w:tc>
          <w:tcPr>
            <w:tcW w:w="1668" w:type="dxa"/>
          </w:tcPr>
          <w:p w:rsidR="000A3B62" w:rsidRPr="00EA7AEA" w:rsidRDefault="000A3B62" w:rsidP="004E348B">
            <w:pPr>
              <w:autoSpaceDE w:val="0"/>
              <w:autoSpaceDN w:val="0"/>
              <w:adjustRightInd w:val="0"/>
              <w:jc w:val="both"/>
              <w:rPr>
                <w:rFonts w:cs="Arial"/>
                <w:b/>
                <w:bCs/>
                <w:sz w:val="20"/>
                <w:szCs w:val="20"/>
              </w:rPr>
            </w:pPr>
          </w:p>
          <w:p w:rsidR="000A3B62" w:rsidRPr="00EA7AEA" w:rsidRDefault="000A3B62" w:rsidP="004E348B">
            <w:pPr>
              <w:autoSpaceDE w:val="0"/>
              <w:autoSpaceDN w:val="0"/>
              <w:adjustRightInd w:val="0"/>
              <w:jc w:val="both"/>
              <w:rPr>
                <w:rFonts w:cs="Arial"/>
                <w:b/>
                <w:bCs/>
                <w:sz w:val="20"/>
                <w:szCs w:val="20"/>
              </w:rPr>
            </w:pPr>
            <w:r w:rsidRPr="00EA7AEA">
              <w:rPr>
                <w:rFonts w:cs="Arial"/>
                <w:b/>
                <w:bCs/>
                <w:sz w:val="20"/>
                <w:szCs w:val="20"/>
              </w:rPr>
              <w:t>Grants</w:t>
            </w:r>
            <w:r w:rsidR="007115F7" w:rsidRPr="00EA7AEA">
              <w:rPr>
                <w:rFonts w:cs="Arial"/>
                <w:b/>
                <w:bCs/>
                <w:sz w:val="20"/>
                <w:szCs w:val="20"/>
              </w:rPr>
              <w:t>:</w:t>
            </w:r>
          </w:p>
          <w:p w:rsidR="000A3B62" w:rsidRPr="00EA7AEA" w:rsidRDefault="000A3B62" w:rsidP="004E348B">
            <w:pPr>
              <w:autoSpaceDE w:val="0"/>
              <w:autoSpaceDN w:val="0"/>
              <w:adjustRightInd w:val="0"/>
              <w:jc w:val="both"/>
              <w:rPr>
                <w:rFonts w:cs="Arial"/>
                <w:b/>
                <w:bCs/>
                <w:sz w:val="20"/>
                <w:szCs w:val="20"/>
              </w:rPr>
            </w:pPr>
          </w:p>
        </w:tc>
        <w:tc>
          <w:tcPr>
            <w:tcW w:w="7574" w:type="dxa"/>
          </w:tcPr>
          <w:p w:rsidR="000A3B62" w:rsidRPr="00EA7AEA" w:rsidRDefault="000A3B62" w:rsidP="004E348B">
            <w:pPr>
              <w:autoSpaceDE w:val="0"/>
              <w:autoSpaceDN w:val="0"/>
              <w:adjustRightInd w:val="0"/>
              <w:jc w:val="both"/>
              <w:rPr>
                <w:rFonts w:cs="Arial"/>
                <w:sz w:val="20"/>
                <w:szCs w:val="20"/>
              </w:rPr>
            </w:pPr>
          </w:p>
          <w:p w:rsidR="000A3B62" w:rsidRPr="00EA7AEA" w:rsidRDefault="000A3B62" w:rsidP="004E348B">
            <w:pPr>
              <w:autoSpaceDE w:val="0"/>
              <w:autoSpaceDN w:val="0"/>
              <w:adjustRightInd w:val="0"/>
              <w:jc w:val="both"/>
              <w:rPr>
                <w:rFonts w:cs="Arial"/>
                <w:sz w:val="20"/>
                <w:szCs w:val="20"/>
              </w:rPr>
            </w:pPr>
            <w:r w:rsidRPr="00EA7AEA">
              <w:rPr>
                <w:rFonts w:cs="Arial"/>
                <w:sz w:val="20"/>
                <w:szCs w:val="20"/>
              </w:rPr>
              <w:t>Public bodies must follow public procurement policy at all times. In certain circumstances grants are payable to third sector organisations. However, there should be no preferential treatment for third sector organisations. Use of grants can be considered where:</w:t>
            </w:r>
          </w:p>
          <w:p w:rsidR="000A3B62" w:rsidRPr="00EA7AEA" w:rsidRDefault="000A3B62" w:rsidP="004E348B">
            <w:pPr>
              <w:autoSpaceDE w:val="0"/>
              <w:autoSpaceDN w:val="0"/>
              <w:adjustRightInd w:val="0"/>
              <w:jc w:val="both"/>
              <w:rPr>
                <w:rFonts w:cs="Arial"/>
                <w:sz w:val="20"/>
                <w:szCs w:val="20"/>
              </w:rPr>
            </w:pPr>
          </w:p>
          <w:p w:rsidR="000A3B62" w:rsidRPr="00EA7AEA" w:rsidRDefault="000A3B62" w:rsidP="004E348B">
            <w:pPr>
              <w:autoSpaceDE w:val="0"/>
              <w:autoSpaceDN w:val="0"/>
              <w:adjustRightInd w:val="0"/>
              <w:jc w:val="both"/>
              <w:rPr>
                <w:rFonts w:cs="Arial"/>
                <w:sz w:val="20"/>
                <w:szCs w:val="20"/>
              </w:rPr>
            </w:pPr>
            <w:r w:rsidRPr="00EA7AEA">
              <w:rPr>
                <w:rFonts w:cs="Arial"/>
                <w:sz w:val="20"/>
                <w:szCs w:val="20"/>
              </w:rPr>
              <w:t>• Funding is provided for development or strategic purposes.</w:t>
            </w:r>
          </w:p>
          <w:p w:rsidR="000A3B62" w:rsidRPr="00EA7AEA" w:rsidRDefault="000A3B62" w:rsidP="004E348B">
            <w:pPr>
              <w:autoSpaceDE w:val="0"/>
              <w:autoSpaceDN w:val="0"/>
              <w:adjustRightInd w:val="0"/>
              <w:jc w:val="both"/>
              <w:rPr>
                <w:rFonts w:cs="Arial"/>
                <w:sz w:val="20"/>
                <w:szCs w:val="20"/>
              </w:rPr>
            </w:pPr>
            <w:r w:rsidRPr="00EA7AEA">
              <w:rPr>
                <w:rFonts w:cs="Arial"/>
                <w:sz w:val="20"/>
                <w:szCs w:val="20"/>
              </w:rPr>
              <w:t>• The provider market is not well developed.</w:t>
            </w:r>
          </w:p>
          <w:p w:rsidR="000A3B62" w:rsidRPr="00EA7AEA" w:rsidRDefault="000A3B62" w:rsidP="004E348B">
            <w:pPr>
              <w:autoSpaceDE w:val="0"/>
              <w:autoSpaceDN w:val="0"/>
              <w:adjustRightInd w:val="0"/>
              <w:jc w:val="both"/>
              <w:rPr>
                <w:rFonts w:cs="Arial"/>
                <w:sz w:val="20"/>
                <w:szCs w:val="20"/>
              </w:rPr>
            </w:pPr>
            <w:r w:rsidRPr="00EA7AEA">
              <w:rPr>
                <w:rFonts w:cs="Arial"/>
                <w:sz w:val="20"/>
                <w:szCs w:val="20"/>
              </w:rPr>
              <w:t>• Innovative or experimental services.</w:t>
            </w:r>
          </w:p>
          <w:p w:rsidR="000A3B62" w:rsidRPr="00EA7AEA" w:rsidRDefault="000A3B62" w:rsidP="004E348B">
            <w:pPr>
              <w:autoSpaceDE w:val="0"/>
              <w:autoSpaceDN w:val="0"/>
              <w:adjustRightInd w:val="0"/>
              <w:jc w:val="both"/>
              <w:rPr>
                <w:rFonts w:cs="Arial"/>
                <w:sz w:val="20"/>
                <w:szCs w:val="20"/>
              </w:rPr>
            </w:pPr>
            <w:r w:rsidRPr="00EA7AEA">
              <w:rPr>
                <w:rFonts w:cs="Arial"/>
                <w:sz w:val="20"/>
                <w:szCs w:val="20"/>
              </w:rPr>
              <w:t>• Where funding is non-contestable (i.e. only one provider).</w:t>
            </w:r>
          </w:p>
          <w:p w:rsidR="000A3B62" w:rsidRPr="00EA7AEA" w:rsidRDefault="000A3B62" w:rsidP="004E348B">
            <w:pPr>
              <w:autoSpaceDE w:val="0"/>
              <w:autoSpaceDN w:val="0"/>
              <w:adjustRightInd w:val="0"/>
              <w:jc w:val="both"/>
              <w:rPr>
                <w:rFonts w:cs="Arial"/>
                <w:sz w:val="20"/>
                <w:szCs w:val="20"/>
              </w:rPr>
            </w:pPr>
          </w:p>
          <w:p w:rsidR="000A3B62" w:rsidRPr="00EA7AEA" w:rsidRDefault="000A3B62" w:rsidP="004E348B">
            <w:pPr>
              <w:autoSpaceDE w:val="0"/>
              <w:autoSpaceDN w:val="0"/>
              <w:adjustRightInd w:val="0"/>
              <w:jc w:val="both"/>
              <w:rPr>
                <w:rFonts w:cs="Arial"/>
                <w:sz w:val="20"/>
                <w:szCs w:val="20"/>
              </w:rPr>
            </w:pPr>
            <w:r w:rsidRPr="00EA7AEA">
              <w:rPr>
                <w:rFonts w:cs="Arial"/>
                <w:sz w:val="20"/>
                <w:szCs w:val="20"/>
              </w:rPr>
              <w:t>Grants should NOT be used to avoid competition where it is appropriate for a formal procurement to be undertaken.</w:t>
            </w:r>
          </w:p>
          <w:p w:rsidR="000A3B62" w:rsidRPr="00EA7AEA" w:rsidRDefault="000A3B62" w:rsidP="004E348B">
            <w:pPr>
              <w:autoSpaceDE w:val="0"/>
              <w:autoSpaceDN w:val="0"/>
              <w:adjustRightInd w:val="0"/>
              <w:jc w:val="both"/>
              <w:rPr>
                <w:rFonts w:cs="Arial"/>
                <w:sz w:val="20"/>
                <w:szCs w:val="20"/>
              </w:rPr>
            </w:pPr>
          </w:p>
        </w:tc>
      </w:tr>
      <w:tr w:rsidR="00BE69CE" w:rsidRPr="00EA7AEA" w:rsidTr="00376CE4">
        <w:tc>
          <w:tcPr>
            <w:tcW w:w="1668" w:type="dxa"/>
          </w:tcPr>
          <w:p w:rsidR="000A3B62" w:rsidRPr="00EA7AEA" w:rsidRDefault="000A3B62" w:rsidP="004E348B">
            <w:pPr>
              <w:autoSpaceDE w:val="0"/>
              <w:autoSpaceDN w:val="0"/>
              <w:adjustRightInd w:val="0"/>
              <w:jc w:val="both"/>
              <w:rPr>
                <w:rFonts w:cs="Arial"/>
                <w:b/>
                <w:bCs/>
                <w:sz w:val="20"/>
                <w:szCs w:val="20"/>
              </w:rPr>
            </w:pPr>
          </w:p>
          <w:p w:rsidR="000A3B62" w:rsidRPr="00EA7AEA" w:rsidRDefault="000A3B62" w:rsidP="004E348B">
            <w:pPr>
              <w:autoSpaceDE w:val="0"/>
              <w:autoSpaceDN w:val="0"/>
              <w:adjustRightInd w:val="0"/>
              <w:jc w:val="both"/>
              <w:rPr>
                <w:rFonts w:cs="Arial"/>
                <w:b/>
                <w:bCs/>
                <w:sz w:val="20"/>
                <w:szCs w:val="20"/>
              </w:rPr>
            </w:pPr>
            <w:r w:rsidRPr="00EA7AEA">
              <w:rPr>
                <w:rFonts w:cs="Arial"/>
                <w:b/>
                <w:bCs/>
                <w:sz w:val="20"/>
                <w:szCs w:val="20"/>
              </w:rPr>
              <w:t>Negotiated</w:t>
            </w:r>
            <w:r w:rsidR="007115F7" w:rsidRPr="00EA7AEA">
              <w:rPr>
                <w:rFonts w:cs="Arial"/>
                <w:b/>
                <w:bCs/>
                <w:sz w:val="20"/>
                <w:szCs w:val="20"/>
              </w:rPr>
              <w:t>:</w:t>
            </w:r>
          </w:p>
        </w:tc>
        <w:tc>
          <w:tcPr>
            <w:tcW w:w="7574" w:type="dxa"/>
          </w:tcPr>
          <w:p w:rsidR="000A3B62" w:rsidRPr="00EA7AEA" w:rsidRDefault="000A3B62" w:rsidP="004E348B">
            <w:pPr>
              <w:autoSpaceDE w:val="0"/>
              <w:autoSpaceDN w:val="0"/>
              <w:adjustRightInd w:val="0"/>
              <w:jc w:val="both"/>
              <w:rPr>
                <w:rFonts w:cs="Arial"/>
                <w:sz w:val="20"/>
                <w:szCs w:val="20"/>
              </w:rPr>
            </w:pPr>
          </w:p>
          <w:p w:rsidR="000A3B62" w:rsidRPr="00EA7AEA" w:rsidRDefault="000A3B62" w:rsidP="004E348B">
            <w:pPr>
              <w:autoSpaceDE w:val="0"/>
              <w:autoSpaceDN w:val="0"/>
              <w:adjustRightInd w:val="0"/>
              <w:jc w:val="both"/>
              <w:rPr>
                <w:rFonts w:cs="Arial"/>
                <w:sz w:val="20"/>
                <w:szCs w:val="20"/>
              </w:rPr>
            </w:pPr>
            <w:r w:rsidRPr="00EA7AEA">
              <w:rPr>
                <w:rFonts w:cs="Arial"/>
                <w:sz w:val="20"/>
                <w:szCs w:val="20"/>
              </w:rPr>
              <w:t>This procedure allows the Commissioner to select one or more potential bidders with whom to negotiate the terms of the contract. There are two types of Negotiated procedure either with or without prior advert. Bidders need to be invited to negotiate the terms of the advertised contract.</w:t>
            </w:r>
          </w:p>
          <w:p w:rsidR="000A3B62" w:rsidRPr="00EA7AEA" w:rsidRDefault="000A3B62" w:rsidP="004E348B">
            <w:pPr>
              <w:autoSpaceDE w:val="0"/>
              <w:autoSpaceDN w:val="0"/>
              <w:adjustRightInd w:val="0"/>
              <w:jc w:val="both"/>
              <w:rPr>
                <w:rFonts w:cs="Arial"/>
                <w:sz w:val="20"/>
                <w:szCs w:val="20"/>
              </w:rPr>
            </w:pPr>
          </w:p>
          <w:p w:rsidR="000A3B62" w:rsidRPr="00EA7AEA" w:rsidRDefault="000A3B62" w:rsidP="004E348B">
            <w:pPr>
              <w:autoSpaceDE w:val="0"/>
              <w:autoSpaceDN w:val="0"/>
              <w:adjustRightInd w:val="0"/>
              <w:jc w:val="both"/>
              <w:rPr>
                <w:rFonts w:cs="Arial"/>
                <w:sz w:val="20"/>
                <w:szCs w:val="20"/>
              </w:rPr>
            </w:pPr>
            <w:r w:rsidRPr="00EA7AEA">
              <w:rPr>
                <w:rFonts w:cs="Arial"/>
                <w:sz w:val="20"/>
                <w:szCs w:val="20"/>
              </w:rPr>
              <w:lastRenderedPageBreak/>
              <w:t xml:space="preserve">Under the procedure without prior advert, the </w:t>
            </w:r>
            <w:r w:rsidR="00D4121E" w:rsidRPr="00EA7AEA">
              <w:rPr>
                <w:rFonts w:cs="Arial"/>
                <w:sz w:val="20"/>
                <w:szCs w:val="20"/>
              </w:rPr>
              <w:t>G</w:t>
            </w:r>
            <w:r w:rsidRPr="00EA7AEA">
              <w:rPr>
                <w:rFonts w:cs="Arial"/>
                <w:sz w:val="20"/>
                <w:szCs w:val="20"/>
              </w:rPr>
              <w:t>CCG could negotiate directly with its supplier of choice – this is usually due to the protection of exclusive rights where the contract can only be carried out by a particular bidder. The procedure should only be used in limited circumstances as detailed in the Regulations.</w:t>
            </w:r>
          </w:p>
          <w:p w:rsidR="000A3B62" w:rsidRPr="00EA7AEA" w:rsidRDefault="000A3B62" w:rsidP="004E348B">
            <w:pPr>
              <w:autoSpaceDE w:val="0"/>
              <w:autoSpaceDN w:val="0"/>
              <w:adjustRightInd w:val="0"/>
              <w:jc w:val="both"/>
              <w:rPr>
                <w:rFonts w:cs="Arial"/>
                <w:bCs/>
                <w:sz w:val="20"/>
                <w:szCs w:val="20"/>
              </w:rPr>
            </w:pPr>
          </w:p>
        </w:tc>
      </w:tr>
      <w:tr w:rsidR="00BE69CE" w:rsidRPr="00EA7AEA" w:rsidTr="00376CE4">
        <w:tc>
          <w:tcPr>
            <w:tcW w:w="1668" w:type="dxa"/>
          </w:tcPr>
          <w:p w:rsidR="000A3B62" w:rsidRPr="00EA7AEA" w:rsidRDefault="000A3B62" w:rsidP="004E348B">
            <w:pPr>
              <w:autoSpaceDE w:val="0"/>
              <w:autoSpaceDN w:val="0"/>
              <w:adjustRightInd w:val="0"/>
              <w:jc w:val="both"/>
              <w:rPr>
                <w:rFonts w:cs="Arial"/>
                <w:b/>
                <w:bCs/>
                <w:sz w:val="20"/>
                <w:szCs w:val="20"/>
              </w:rPr>
            </w:pPr>
          </w:p>
          <w:p w:rsidR="000A3B62" w:rsidRPr="00EA7AEA" w:rsidRDefault="000A3B62" w:rsidP="004E348B">
            <w:pPr>
              <w:autoSpaceDE w:val="0"/>
              <w:autoSpaceDN w:val="0"/>
              <w:adjustRightInd w:val="0"/>
              <w:jc w:val="both"/>
              <w:rPr>
                <w:rFonts w:cs="Arial"/>
                <w:b/>
                <w:bCs/>
                <w:sz w:val="20"/>
                <w:szCs w:val="20"/>
              </w:rPr>
            </w:pPr>
            <w:r w:rsidRPr="00EA7AEA">
              <w:rPr>
                <w:rFonts w:cs="Arial"/>
                <w:b/>
                <w:bCs/>
                <w:sz w:val="20"/>
                <w:szCs w:val="20"/>
              </w:rPr>
              <w:t>Open</w:t>
            </w:r>
            <w:r w:rsidR="007115F7" w:rsidRPr="00EA7AEA">
              <w:rPr>
                <w:rFonts w:cs="Arial"/>
                <w:b/>
                <w:bCs/>
                <w:sz w:val="20"/>
                <w:szCs w:val="20"/>
              </w:rPr>
              <w:t>:</w:t>
            </w:r>
          </w:p>
        </w:tc>
        <w:tc>
          <w:tcPr>
            <w:tcW w:w="7574" w:type="dxa"/>
          </w:tcPr>
          <w:p w:rsidR="000A3B62" w:rsidRPr="00EA7AEA" w:rsidRDefault="000A3B62" w:rsidP="004E348B">
            <w:pPr>
              <w:autoSpaceDE w:val="0"/>
              <w:autoSpaceDN w:val="0"/>
              <w:adjustRightInd w:val="0"/>
              <w:jc w:val="both"/>
              <w:rPr>
                <w:rFonts w:cs="Arial"/>
                <w:sz w:val="20"/>
                <w:szCs w:val="20"/>
              </w:rPr>
            </w:pPr>
          </w:p>
          <w:p w:rsidR="000A3B62" w:rsidRPr="00EA7AEA" w:rsidRDefault="000A3B62" w:rsidP="002F3921">
            <w:pPr>
              <w:autoSpaceDE w:val="0"/>
              <w:autoSpaceDN w:val="0"/>
              <w:adjustRightInd w:val="0"/>
              <w:jc w:val="both"/>
              <w:rPr>
                <w:rFonts w:cs="Arial"/>
                <w:bCs/>
                <w:sz w:val="20"/>
                <w:szCs w:val="20"/>
              </w:rPr>
            </w:pPr>
            <w:r w:rsidRPr="00EA7AEA">
              <w:rPr>
                <w:rFonts w:cs="Arial"/>
                <w:sz w:val="20"/>
                <w:szCs w:val="20"/>
              </w:rPr>
              <w:t>No pre-qualification stage.  All prospective bidders may respond to the advertisement by tendering for the contract, although only those meeting the selection criteria (if stated) will be entitled to have their tender assessed.</w:t>
            </w:r>
          </w:p>
        </w:tc>
      </w:tr>
      <w:tr w:rsidR="00BE69CE" w:rsidRPr="00EA7AEA" w:rsidTr="00376CE4">
        <w:tc>
          <w:tcPr>
            <w:tcW w:w="1668" w:type="dxa"/>
          </w:tcPr>
          <w:p w:rsidR="000A3B62" w:rsidRPr="00EA7AEA" w:rsidRDefault="000A3B62" w:rsidP="004E348B">
            <w:pPr>
              <w:autoSpaceDE w:val="0"/>
              <w:autoSpaceDN w:val="0"/>
              <w:adjustRightInd w:val="0"/>
              <w:jc w:val="both"/>
              <w:rPr>
                <w:rFonts w:cs="Arial"/>
                <w:b/>
                <w:bCs/>
                <w:sz w:val="20"/>
                <w:szCs w:val="20"/>
              </w:rPr>
            </w:pPr>
          </w:p>
          <w:p w:rsidR="000A3B62" w:rsidRPr="00EA7AEA" w:rsidRDefault="000A3B62" w:rsidP="004E348B">
            <w:pPr>
              <w:autoSpaceDE w:val="0"/>
              <w:autoSpaceDN w:val="0"/>
              <w:adjustRightInd w:val="0"/>
              <w:jc w:val="both"/>
              <w:rPr>
                <w:rFonts w:cs="Arial"/>
                <w:b/>
                <w:bCs/>
                <w:sz w:val="20"/>
                <w:szCs w:val="20"/>
              </w:rPr>
            </w:pPr>
            <w:r w:rsidRPr="00EA7AEA">
              <w:rPr>
                <w:rFonts w:cs="Arial"/>
                <w:b/>
                <w:bCs/>
                <w:sz w:val="20"/>
                <w:szCs w:val="20"/>
              </w:rPr>
              <w:t>Restricted</w:t>
            </w:r>
            <w:r w:rsidR="007115F7" w:rsidRPr="00EA7AEA">
              <w:rPr>
                <w:rFonts w:cs="Arial"/>
                <w:b/>
                <w:bCs/>
                <w:sz w:val="20"/>
                <w:szCs w:val="20"/>
              </w:rPr>
              <w:t>:</w:t>
            </w:r>
          </w:p>
        </w:tc>
        <w:tc>
          <w:tcPr>
            <w:tcW w:w="7574" w:type="dxa"/>
          </w:tcPr>
          <w:p w:rsidR="000A3B62" w:rsidRPr="00EA7AEA" w:rsidRDefault="000A3B62" w:rsidP="004E348B">
            <w:pPr>
              <w:autoSpaceDE w:val="0"/>
              <w:autoSpaceDN w:val="0"/>
              <w:adjustRightInd w:val="0"/>
              <w:jc w:val="both"/>
              <w:rPr>
                <w:rFonts w:cs="Arial"/>
                <w:sz w:val="20"/>
                <w:szCs w:val="20"/>
              </w:rPr>
            </w:pPr>
          </w:p>
          <w:p w:rsidR="000A3B62" w:rsidRPr="00EA7AEA" w:rsidRDefault="000A3B62" w:rsidP="004E348B">
            <w:pPr>
              <w:autoSpaceDE w:val="0"/>
              <w:autoSpaceDN w:val="0"/>
              <w:adjustRightInd w:val="0"/>
              <w:jc w:val="both"/>
              <w:rPr>
                <w:rFonts w:cs="Arial"/>
                <w:sz w:val="20"/>
                <w:szCs w:val="20"/>
              </w:rPr>
            </w:pPr>
            <w:r w:rsidRPr="00EA7AEA">
              <w:rPr>
                <w:rFonts w:cs="Arial"/>
                <w:sz w:val="20"/>
                <w:szCs w:val="20"/>
              </w:rPr>
              <w:t>All interested parties may express an interest in tendering for the contract but only those meeting selection criteria, assessed by a pre</w:t>
            </w:r>
            <w:r w:rsidRPr="00EA7AEA">
              <w:rPr>
                <w:rFonts w:ascii="Cambria Math" w:hAnsi="Cambria Math" w:cs="Cambria Math"/>
                <w:sz w:val="20"/>
                <w:szCs w:val="20"/>
              </w:rPr>
              <w:t>‐</w:t>
            </w:r>
            <w:r w:rsidRPr="00EA7AEA">
              <w:rPr>
                <w:rFonts w:cs="Arial"/>
                <w:sz w:val="20"/>
                <w:szCs w:val="20"/>
              </w:rPr>
              <w:t>qualifying stage, will be invited to do so. An Accelerated Restricted Procedure can also be undertaken.</w:t>
            </w:r>
          </w:p>
          <w:p w:rsidR="000A3B62" w:rsidRPr="00EA7AEA" w:rsidRDefault="000A3B62" w:rsidP="004E348B">
            <w:pPr>
              <w:autoSpaceDE w:val="0"/>
              <w:autoSpaceDN w:val="0"/>
              <w:adjustRightInd w:val="0"/>
              <w:jc w:val="both"/>
              <w:rPr>
                <w:rFonts w:cs="Arial"/>
                <w:bCs/>
                <w:sz w:val="20"/>
                <w:szCs w:val="20"/>
              </w:rPr>
            </w:pPr>
          </w:p>
        </w:tc>
      </w:tr>
      <w:tr w:rsidR="00BE69CE" w:rsidRPr="00EA7AEA" w:rsidTr="00376CE4">
        <w:tc>
          <w:tcPr>
            <w:tcW w:w="1668" w:type="dxa"/>
          </w:tcPr>
          <w:p w:rsidR="000A3B62" w:rsidRPr="00EA7AEA" w:rsidRDefault="000A3B62" w:rsidP="004E348B">
            <w:pPr>
              <w:autoSpaceDE w:val="0"/>
              <w:autoSpaceDN w:val="0"/>
              <w:adjustRightInd w:val="0"/>
              <w:jc w:val="both"/>
              <w:rPr>
                <w:rFonts w:cs="Arial"/>
                <w:bCs/>
                <w:sz w:val="20"/>
                <w:szCs w:val="20"/>
              </w:rPr>
            </w:pPr>
          </w:p>
          <w:p w:rsidR="000A3B62" w:rsidRPr="00EA7AEA" w:rsidRDefault="000A3B62" w:rsidP="004E348B">
            <w:pPr>
              <w:autoSpaceDE w:val="0"/>
              <w:autoSpaceDN w:val="0"/>
              <w:adjustRightInd w:val="0"/>
              <w:jc w:val="both"/>
              <w:rPr>
                <w:rFonts w:cs="Arial"/>
                <w:b/>
                <w:bCs/>
                <w:sz w:val="20"/>
                <w:szCs w:val="20"/>
              </w:rPr>
            </w:pPr>
            <w:r w:rsidRPr="00EA7AEA">
              <w:rPr>
                <w:rFonts w:cs="Arial"/>
                <w:b/>
                <w:bCs/>
                <w:sz w:val="20"/>
                <w:szCs w:val="20"/>
              </w:rPr>
              <w:t xml:space="preserve">Single </w:t>
            </w:r>
          </w:p>
          <w:p w:rsidR="000A3B62" w:rsidRPr="00EA7AEA" w:rsidRDefault="000A3B62" w:rsidP="004E348B">
            <w:pPr>
              <w:autoSpaceDE w:val="0"/>
              <w:autoSpaceDN w:val="0"/>
              <w:adjustRightInd w:val="0"/>
              <w:jc w:val="both"/>
              <w:rPr>
                <w:rFonts w:cs="Arial"/>
                <w:b/>
                <w:bCs/>
                <w:sz w:val="20"/>
                <w:szCs w:val="20"/>
              </w:rPr>
            </w:pPr>
            <w:r w:rsidRPr="00EA7AEA">
              <w:rPr>
                <w:rFonts w:cs="Arial"/>
                <w:b/>
                <w:bCs/>
                <w:sz w:val="20"/>
                <w:szCs w:val="20"/>
              </w:rPr>
              <w:t xml:space="preserve">Tender </w:t>
            </w:r>
          </w:p>
          <w:p w:rsidR="000A3B62" w:rsidRPr="00EA7AEA" w:rsidRDefault="000A3B62" w:rsidP="004E348B">
            <w:pPr>
              <w:autoSpaceDE w:val="0"/>
              <w:autoSpaceDN w:val="0"/>
              <w:adjustRightInd w:val="0"/>
              <w:jc w:val="both"/>
              <w:rPr>
                <w:rFonts w:cs="Arial"/>
                <w:b/>
                <w:bCs/>
                <w:sz w:val="20"/>
                <w:szCs w:val="20"/>
              </w:rPr>
            </w:pPr>
            <w:r w:rsidRPr="00EA7AEA">
              <w:rPr>
                <w:rFonts w:cs="Arial"/>
                <w:b/>
                <w:bCs/>
                <w:sz w:val="20"/>
                <w:szCs w:val="20"/>
              </w:rPr>
              <w:t>Action</w:t>
            </w:r>
            <w:r w:rsidR="007115F7" w:rsidRPr="00EA7AEA">
              <w:rPr>
                <w:rFonts w:cs="Arial"/>
                <w:b/>
                <w:bCs/>
                <w:sz w:val="20"/>
                <w:szCs w:val="20"/>
              </w:rPr>
              <w:t>:</w:t>
            </w:r>
          </w:p>
          <w:p w:rsidR="000A3B62" w:rsidRPr="00EA7AEA" w:rsidRDefault="000A3B62" w:rsidP="004E348B">
            <w:pPr>
              <w:autoSpaceDE w:val="0"/>
              <w:autoSpaceDN w:val="0"/>
              <w:adjustRightInd w:val="0"/>
              <w:jc w:val="both"/>
              <w:rPr>
                <w:rFonts w:cs="Arial"/>
                <w:bCs/>
                <w:sz w:val="20"/>
                <w:szCs w:val="20"/>
              </w:rPr>
            </w:pPr>
          </w:p>
        </w:tc>
        <w:tc>
          <w:tcPr>
            <w:tcW w:w="7574" w:type="dxa"/>
          </w:tcPr>
          <w:p w:rsidR="000A3B62" w:rsidRPr="00EA7AEA" w:rsidRDefault="000A3B62" w:rsidP="004E348B">
            <w:pPr>
              <w:autoSpaceDE w:val="0"/>
              <w:autoSpaceDN w:val="0"/>
              <w:adjustRightInd w:val="0"/>
              <w:jc w:val="both"/>
              <w:rPr>
                <w:rFonts w:cs="Arial"/>
                <w:sz w:val="20"/>
                <w:szCs w:val="20"/>
              </w:rPr>
            </w:pPr>
          </w:p>
          <w:p w:rsidR="000A3B62" w:rsidRPr="00EA7AEA" w:rsidRDefault="000A3B62" w:rsidP="004E348B">
            <w:pPr>
              <w:autoSpaceDE w:val="0"/>
              <w:autoSpaceDN w:val="0"/>
              <w:adjustRightInd w:val="0"/>
              <w:jc w:val="both"/>
              <w:rPr>
                <w:rFonts w:cs="Arial"/>
                <w:sz w:val="20"/>
                <w:szCs w:val="20"/>
              </w:rPr>
            </w:pPr>
            <w:r w:rsidRPr="00EA7AEA">
              <w:rPr>
                <w:rFonts w:cs="Arial"/>
                <w:sz w:val="20"/>
                <w:szCs w:val="20"/>
              </w:rPr>
              <w:t>Single tender actions should usually be avoided as this is contrary to achieving value for money through open and fair competition.  Exceptionally, single tender actions may be justified where:</w:t>
            </w:r>
          </w:p>
          <w:p w:rsidR="000A3B62" w:rsidRPr="00EA7AEA" w:rsidRDefault="000A3B62" w:rsidP="00264B71">
            <w:pPr>
              <w:pStyle w:val="ListParagraph"/>
              <w:numPr>
                <w:ilvl w:val="0"/>
                <w:numId w:val="45"/>
              </w:numPr>
              <w:spacing w:before="100" w:beforeAutospacing="1" w:after="100" w:afterAutospacing="1"/>
              <w:jc w:val="both"/>
              <w:rPr>
                <w:rFonts w:cs="Arial"/>
                <w:sz w:val="20"/>
                <w:szCs w:val="20"/>
                <w:lang w:val="en"/>
              </w:rPr>
            </w:pPr>
            <w:r w:rsidRPr="00EA7AEA">
              <w:rPr>
                <w:rFonts w:cs="Arial"/>
                <w:sz w:val="20"/>
                <w:szCs w:val="20"/>
                <w:lang w:val="en"/>
              </w:rPr>
              <w:t>The work constitutes follow up work, which is directly related to a recently completed contract, and the added value gained from the additional work being given to the same contractor outweighs any potential reduction in price that may be derived through competitive tendering. However the follow up work should not be of significant cost (i.e. not more than 50% of the original contract value);</w:t>
            </w:r>
          </w:p>
          <w:p w:rsidR="000A3B62" w:rsidRPr="00EA7AEA" w:rsidRDefault="000A3B62" w:rsidP="004E348B">
            <w:pPr>
              <w:pStyle w:val="ListParagraph"/>
              <w:spacing w:before="100" w:beforeAutospacing="1" w:after="100" w:afterAutospacing="1"/>
              <w:jc w:val="both"/>
              <w:rPr>
                <w:rFonts w:cs="Arial"/>
                <w:sz w:val="20"/>
                <w:szCs w:val="20"/>
                <w:lang w:val="en"/>
              </w:rPr>
            </w:pPr>
          </w:p>
          <w:p w:rsidR="000A3B62" w:rsidRPr="00EA7AEA" w:rsidRDefault="000A3B62" w:rsidP="00264B71">
            <w:pPr>
              <w:pStyle w:val="ListParagraph"/>
              <w:numPr>
                <w:ilvl w:val="0"/>
                <w:numId w:val="45"/>
              </w:numPr>
              <w:spacing w:before="100" w:beforeAutospacing="1" w:after="100" w:afterAutospacing="1"/>
              <w:jc w:val="both"/>
              <w:rPr>
                <w:rFonts w:cs="Arial"/>
                <w:sz w:val="20"/>
                <w:szCs w:val="20"/>
              </w:rPr>
            </w:pPr>
            <w:r w:rsidRPr="00EA7AEA">
              <w:rPr>
                <w:rFonts w:cs="Arial"/>
                <w:sz w:val="20"/>
                <w:szCs w:val="20"/>
                <w:lang w:val="en"/>
              </w:rPr>
              <w:t>The expertise required is only available from one source. This may be due to ownership of exclusive design rights or patents but, nonetheless, the specification should be reviewed to ensure that no other product / service would meet user requirements.</w:t>
            </w:r>
          </w:p>
        </w:tc>
      </w:tr>
      <w:tr w:rsidR="000A3B62" w:rsidRPr="00EA7AEA" w:rsidTr="00376CE4">
        <w:tc>
          <w:tcPr>
            <w:tcW w:w="1668" w:type="dxa"/>
          </w:tcPr>
          <w:p w:rsidR="000A3B62" w:rsidRPr="00EA7AEA" w:rsidRDefault="000A3B62" w:rsidP="004E348B">
            <w:pPr>
              <w:autoSpaceDE w:val="0"/>
              <w:autoSpaceDN w:val="0"/>
              <w:adjustRightInd w:val="0"/>
              <w:jc w:val="both"/>
              <w:rPr>
                <w:rFonts w:cs="Arial"/>
                <w:b/>
                <w:bCs/>
                <w:sz w:val="20"/>
                <w:szCs w:val="20"/>
              </w:rPr>
            </w:pPr>
          </w:p>
          <w:p w:rsidR="000A3B62" w:rsidRPr="00EA7AEA" w:rsidRDefault="000A3B62" w:rsidP="004E348B">
            <w:pPr>
              <w:autoSpaceDE w:val="0"/>
              <w:autoSpaceDN w:val="0"/>
              <w:adjustRightInd w:val="0"/>
              <w:jc w:val="both"/>
              <w:rPr>
                <w:rFonts w:cs="Arial"/>
                <w:b/>
                <w:bCs/>
                <w:sz w:val="20"/>
                <w:szCs w:val="20"/>
              </w:rPr>
            </w:pPr>
            <w:r w:rsidRPr="00EA7AEA">
              <w:rPr>
                <w:rFonts w:cs="Arial"/>
                <w:b/>
                <w:bCs/>
                <w:sz w:val="20"/>
                <w:szCs w:val="20"/>
              </w:rPr>
              <w:t>Spot Purchasing</w:t>
            </w:r>
            <w:r w:rsidR="007115F7" w:rsidRPr="00EA7AEA">
              <w:rPr>
                <w:rFonts w:cs="Arial"/>
                <w:b/>
                <w:bCs/>
                <w:sz w:val="20"/>
                <w:szCs w:val="20"/>
              </w:rPr>
              <w:t>:</w:t>
            </w:r>
          </w:p>
          <w:p w:rsidR="000A3B62" w:rsidRPr="00EA7AEA" w:rsidRDefault="000A3B62" w:rsidP="004E348B">
            <w:pPr>
              <w:autoSpaceDE w:val="0"/>
              <w:autoSpaceDN w:val="0"/>
              <w:adjustRightInd w:val="0"/>
              <w:jc w:val="both"/>
              <w:rPr>
                <w:rFonts w:cs="Arial"/>
                <w:b/>
                <w:bCs/>
                <w:sz w:val="20"/>
                <w:szCs w:val="20"/>
              </w:rPr>
            </w:pPr>
          </w:p>
        </w:tc>
        <w:tc>
          <w:tcPr>
            <w:tcW w:w="7574" w:type="dxa"/>
          </w:tcPr>
          <w:p w:rsidR="000A3B62" w:rsidRPr="00EA7AEA" w:rsidRDefault="000A3B62" w:rsidP="004E348B">
            <w:pPr>
              <w:autoSpaceDE w:val="0"/>
              <w:autoSpaceDN w:val="0"/>
              <w:adjustRightInd w:val="0"/>
              <w:jc w:val="both"/>
              <w:rPr>
                <w:rFonts w:cs="Arial"/>
                <w:sz w:val="20"/>
                <w:szCs w:val="20"/>
              </w:rPr>
            </w:pPr>
          </w:p>
          <w:p w:rsidR="000A3B62" w:rsidRPr="00EA7AEA" w:rsidRDefault="000A3B62" w:rsidP="004E348B">
            <w:pPr>
              <w:autoSpaceDE w:val="0"/>
              <w:autoSpaceDN w:val="0"/>
              <w:adjustRightInd w:val="0"/>
              <w:jc w:val="both"/>
              <w:rPr>
                <w:rFonts w:cs="Arial"/>
                <w:sz w:val="20"/>
                <w:szCs w:val="20"/>
              </w:rPr>
            </w:pPr>
            <w:r w:rsidRPr="00EA7AEA">
              <w:rPr>
                <w:rFonts w:cs="Arial"/>
                <w:sz w:val="20"/>
                <w:szCs w:val="20"/>
              </w:rPr>
              <w:t xml:space="preserve">There will remain a need to spot-purchase for particular individual needs i.e. urgent medical requirement to place a patient in specialist care facilities.  Whilst this requirement is infrequent, a waiver of standing orders will be sought to comply with the </w:t>
            </w:r>
            <w:r w:rsidR="00D4121E" w:rsidRPr="00EA7AEA">
              <w:rPr>
                <w:rFonts w:cs="Arial"/>
                <w:sz w:val="20"/>
                <w:szCs w:val="20"/>
              </w:rPr>
              <w:t>G</w:t>
            </w:r>
            <w:r w:rsidRPr="00EA7AEA">
              <w:rPr>
                <w:rFonts w:cs="Arial"/>
                <w:sz w:val="20"/>
                <w:szCs w:val="20"/>
              </w:rPr>
              <w:t>CCG’s requirements for financial transparency and probity.</w:t>
            </w:r>
          </w:p>
          <w:p w:rsidR="000A3B62" w:rsidRPr="00EA7AEA" w:rsidRDefault="000A3B62" w:rsidP="004E348B">
            <w:pPr>
              <w:autoSpaceDE w:val="0"/>
              <w:autoSpaceDN w:val="0"/>
              <w:adjustRightInd w:val="0"/>
              <w:jc w:val="both"/>
              <w:rPr>
                <w:rFonts w:cs="Arial"/>
                <w:sz w:val="20"/>
                <w:szCs w:val="20"/>
              </w:rPr>
            </w:pPr>
          </w:p>
        </w:tc>
      </w:tr>
    </w:tbl>
    <w:p w:rsidR="00AD04DE" w:rsidRPr="00EA7AEA" w:rsidRDefault="00AD04DE" w:rsidP="006F0A88">
      <w:pPr>
        <w:autoSpaceDE w:val="0"/>
        <w:autoSpaceDN w:val="0"/>
        <w:adjustRightInd w:val="0"/>
        <w:jc w:val="both"/>
        <w:rPr>
          <w:rFonts w:cs="Arial"/>
        </w:rPr>
      </w:pPr>
    </w:p>
    <w:p w:rsidR="00952D5B" w:rsidRPr="00EA7AEA" w:rsidRDefault="00952D5B" w:rsidP="006F0A88">
      <w:pPr>
        <w:autoSpaceDE w:val="0"/>
        <w:autoSpaceDN w:val="0"/>
        <w:adjustRightInd w:val="0"/>
        <w:jc w:val="both"/>
        <w:rPr>
          <w:rFonts w:cs="Arial"/>
        </w:rPr>
      </w:pPr>
    </w:p>
    <w:p w:rsidR="001878EE" w:rsidRPr="00EA7AEA" w:rsidRDefault="004D2624" w:rsidP="00264B71">
      <w:pPr>
        <w:pStyle w:val="ListParagraph"/>
        <w:numPr>
          <w:ilvl w:val="0"/>
          <w:numId w:val="3"/>
        </w:numPr>
        <w:autoSpaceDE w:val="0"/>
        <w:autoSpaceDN w:val="0"/>
        <w:adjustRightInd w:val="0"/>
        <w:ind w:left="709" w:hanging="709"/>
        <w:jc w:val="both"/>
        <w:rPr>
          <w:rFonts w:cs="Arial"/>
          <w:u w:val="single"/>
        </w:rPr>
      </w:pPr>
      <w:r w:rsidRPr="00EA7AEA">
        <w:rPr>
          <w:rFonts w:cs="Arial"/>
          <w:u w:val="single"/>
        </w:rPr>
        <w:t>Procurement Thresholds:</w:t>
      </w:r>
    </w:p>
    <w:p w:rsidR="001878EE" w:rsidRPr="00EA7AEA" w:rsidRDefault="001878EE" w:rsidP="006F0A88">
      <w:pPr>
        <w:autoSpaceDE w:val="0"/>
        <w:autoSpaceDN w:val="0"/>
        <w:adjustRightInd w:val="0"/>
        <w:jc w:val="both"/>
        <w:rPr>
          <w:rFonts w:cs="Arial"/>
        </w:rPr>
      </w:pPr>
    </w:p>
    <w:p w:rsidR="000A3B62" w:rsidRPr="00EA7AEA" w:rsidRDefault="000A3B62" w:rsidP="000A3B62">
      <w:pPr>
        <w:autoSpaceDE w:val="0"/>
        <w:autoSpaceDN w:val="0"/>
        <w:adjustRightInd w:val="0"/>
        <w:jc w:val="both"/>
        <w:rPr>
          <w:rFonts w:cs="Arial"/>
        </w:rPr>
      </w:pPr>
      <w:r w:rsidRPr="00EA7AEA">
        <w:rPr>
          <w:rFonts w:cs="Arial"/>
        </w:rPr>
        <w:t xml:space="preserve">Procurement Thresholds </w:t>
      </w:r>
      <w:r w:rsidR="006F4C7D" w:rsidRPr="00EA7AEA">
        <w:rPr>
          <w:rFonts w:cs="Arial"/>
        </w:rPr>
        <w:t>(</w:t>
      </w:r>
      <w:r w:rsidRPr="00EA7AEA">
        <w:rPr>
          <w:rFonts w:cs="Arial"/>
        </w:rPr>
        <w:t>Public Contract Regulations 2006</w:t>
      </w:r>
      <w:r w:rsidR="006F4C7D" w:rsidRPr="00EA7AEA">
        <w:rPr>
          <w:rFonts w:cs="Arial"/>
        </w:rPr>
        <w:t>) are revised every 2 years*.</w:t>
      </w:r>
    </w:p>
    <w:p w:rsidR="000A3B62" w:rsidRPr="00EA7AEA" w:rsidRDefault="000A3B62" w:rsidP="000A3B62">
      <w:pPr>
        <w:autoSpaceDE w:val="0"/>
        <w:autoSpaceDN w:val="0"/>
        <w:adjustRightInd w:val="0"/>
        <w:jc w:val="both"/>
        <w:rPr>
          <w:rFonts w:cs="Arial"/>
          <w:b/>
          <w:bCs/>
        </w:rPr>
      </w:pPr>
      <w:r w:rsidRPr="00EA7AEA">
        <w:rPr>
          <w:rFonts w:cs="Arial"/>
          <w:b/>
        </w:rPr>
        <w:t xml:space="preserve"> </w:t>
      </w:r>
    </w:p>
    <w:tbl>
      <w:tblPr>
        <w:tblStyle w:val="TableGrid"/>
        <w:tblW w:w="0" w:type="auto"/>
        <w:tblLook w:val="04A0" w:firstRow="1" w:lastRow="0" w:firstColumn="1" w:lastColumn="0" w:noHBand="0" w:noVBand="1"/>
      </w:tblPr>
      <w:tblGrid>
        <w:gridCol w:w="2310"/>
        <w:gridCol w:w="2310"/>
        <w:gridCol w:w="2311"/>
        <w:gridCol w:w="2311"/>
      </w:tblGrid>
      <w:tr w:rsidR="00BE69CE" w:rsidRPr="00EA7AEA" w:rsidTr="002F3921">
        <w:trPr>
          <w:trHeight w:val="353"/>
        </w:trPr>
        <w:tc>
          <w:tcPr>
            <w:tcW w:w="2310" w:type="dxa"/>
            <w:tcBorders>
              <w:top w:val="nil"/>
              <w:left w:val="nil"/>
              <w:bottom w:val="single" w:sz="4" w:space="0" w:color="auto"/>
            </w:tcBorders>
          </w:tcPr>
          <w:p w:rsidR="000A3B62" w:rsidRPr="00EA7AEA" w:rsidRDefault="000A3B62" w:rsidP="004E348B">
            <w:pPr>
              <w:autoSpaceDE w:val="0"/>
              <w:autoSpaceDN w:val="0"/>
              <w:adjustRightInd w:val="0"/>
              <w:jc w:val="both"/>
              <w:rPr>
                <w:rFonts w:cs="Arial"/>
                <w:bCs/>
                <w:sz w:val="20"/>
                <w:szCs w:val="20"/>
              </w:rPr>
            </w:pPr>
          </w:p>
        </w:tc>
        <w:tc>
          <w:tcPr>
            <w:tcW w:w="2310" w:type="dxa"/>
            <w:shd w:val="clear" w:color="auto" w:fill="B8CCE4" w:themeFill="accent1" w:themeFillTint="66"/>
          </w:tcPr>
          <w:p w:rsidR="00376CE4" w:rsidRPr="00EA7AEA" w:rsidRDefault="00376CE4" w:rsidP="00376CE4">
            <w:pPr>
              <w:autoSpaceDE w:val="0"/>
              <w:autoSpaceDN w:val="0"/>
              <w:adjustRightInd w:val="0"/>
              <w:jc w:val="center"/>
              <w:rPr>
                <w:rFonts w:cs="Arial"/>
                <w:b/>
                <w:bCs/>
                <w:sz w:val="20"/>
                <w:szCs w:val="20"/>
              </w:rPr>
            </w:pPr>
          </w:p>
          <w:p w:rsidR="000A3B62" w:rsidRPr="00EA7AEA" w:rsidRDefault="000A3B62" w:rsidP="00376CE4">
            <w:pPr>
              <w:autoSpaceDE w:val="0"/>
              <w:autoSpaceDN w:val="0"/>
              <w:adjustRightInd w:val="0"/>
              <w:jc w:val="center"/>
              <w:rPr>
                <w:rFonts w:cs="Arial"/>
                <w:b/>
                <w:bCs/>
                <w:sz w:val="20"/>
                <w:szCs w:val="20"/>
              </w:rPr>
            </w:pPr>
            <w:r w:rsidRPr="00EA7AEA">
              <w:rPr>
                <w:rFonts w:cs="Arial"/>
                <w:b/>
                <w:bCs/>
                <w:sz w:val="20"/>
                <w:szCs w:val="20"/>
              </w:rPr>
              <w:t>Supplies:</w:t>
            </w:r>
          </w:p>
          <w:p w:rsidR="00376CE4" w:rsidRPr="00EA7AEA" w:rsidRDefault="00376CE4" w:rsidP="00376CE4">
            <w:pPr>
              <w:autoSpaceDE w:val="0"/>
              <w:autoSpaceDN w:val="0"/>
              <w:adjustRightInd w:val="0"/>
              <w:jc w:val="center"/>
              <w:rPr>
                <w:rFonts w:cs="Arial"/>
                <w:b/>
                <w:bCs/>
                <w:sz w:val="20"/>
                <w:szCs w:val="20"/>
              </w:rPr>
            </w:pPr>
          </w:p>
        </w:tc>
        <w:tc>
          <w:tcPr>
            <w:tcW w:w="2311" w:type="dxa"/>
            <w:shd w:val="clear" w:color="auto" w:fill="B8CCE4" w:themeFill="accent1" w:themeFillTint="66"/>
          </w:tcPr>
          <w:p w:rsidR="00376CE4" w:rsidRPr="00EA7AEA" w:rsidRDefault="00376CE4" w:rsidP="00376CE4">
            <w:pPr>
              <w:autoSpaceDE w:val="0"/>
              <w:autoSpaceDN w:val="0"/>
              <w:adjustRightInd w:val="0"/>
              <w:jc w:val="center"/>
              <w:rPr>
                <w:rFonts w:cs="Arial"/>
                <w:b/>
                <w:bCs/>
                <w:sz w:val="20"/>
                <w:szCs w:val="20"/>
              </w:rPr>
            </w:pPr>
          </w:p>
          <w:p w:rsidR="000A3B62" w:rsidRPr="00EA7AEA" w:rsidRDefault="000A3B62" w:rsidP="00376CE4">
            <w:pPr>
              <w:autoSpaceDE w:val="0"/>
              <w:autoSpaceDN w:val="0"/>
              <w:adjustRightInd w:val="0"/>
              <w:jc w:val="center"/>
              <w:rPr>
                <w:rFonts w:cs="Arial"/>
                <w:b/>
                <w:bCs/>
                <w:sz w:val="20"/>
                <w:szCs w:val="20"/>
              </w:rPr>
            </w:pPr>
            <w:r w:rsidRPr="00EA7AEA">
              <w:rPr>
                <w:rFonts w:cs="Arial"/>
                <w:b/>
                <w:bCs/>
                <w:sz w:val="20"/>
                <w:szCs w:val="20"/>
              </w:rPr>
              <w:t>Services:</w:t>
            </w:r>
          </w:p>
        </w:tc>
        <w:tc>
          <w:tcPr>
            <w:tcW w:w="2311" w:type="dxa"/>
            <w:shd w:val="clear" w:color="auto" w:fill="B8CCE4" w:themeFill="accent1" w:themeFillTint="66"/>
          </w:tcPr>
          <w:p w:rsidR="00376CE4" w:rsidRPr="00EA7AEA" w:rsidRDefault="00376CE4" w:rsidP="00376CE4">
            <w:pPr>
              <w:autoSpaceDE w:val="0"/>
              <w:autoSpaceDN w:val="0"/>
              <w:adjustRightInd w:val="0"/>
              <w:jc w:val="center"/>
              <w:rPr>
                <w:rFonts w:cs="Arial"/>
                <w:b/>
                <w:bCs/>
                <w:sz w:val="20"/>
                <w:szCs w:val="20"/>
              </w:rPr>
            </w:pPr>
          </w:p>
          <w:p w:rsidR="000A3B62" w:rsidRPr="00EA7AEA" w:rsidRDefault="000A3B62" w:rsidP="00376CE4">
            <w:pPr>
              <w:autoSpaceDE w:val="0"/>
              <w:autoSpaceDN w:val="0"/>
              <w:adjustRightInd w:val="0"/>
              <w:jc w:val="center"/>
              <w:rPr>
                <w:rFonts w:cs="Arial"/>
                <w:b/>
                <w:bCs/>
                <w:sz w:val="20"/>
                <w:szCs w:val="20"/>
              </w:rPr>
            </w:pPr>
            <w:r w:rsidRPr="00EA7AEA">
              <w:rPr>
                <w:rFonts w:cs="Arial"/>
                <w:b/>
                <w:bCs/>
                <w:sz w:val="20"/>
                <w:szCs w:val="20"/>
              </w:rPr>
              <w:t>Works:</w:t>
            </w:r>
          </w:p>
        </w:tc>
      </w:tr>
      <w:tr w:rsidR="00BE69CE" w:rsidRPr="00EA7AEA" w:rsidTr="00376CE4">
        <w:tc>
          <w:tcPr>
            <w:tcW w:w="2310" w:type="dxa"/>
            <w:shd w:val="clear" w:color="auto" w:fill="B8CCE4" w:themeFill="accent1" w:themeFillTint="66"/>
          </w:tcPr>
          <w:p w:rsidR="00376CE4" w:rsidRPr="00EA7AEA" w:rsidRDefault="00376CE4" w:rsidP="00376CE4">
            <w:pPr>
              <w:autoSpaceDE w:val="0"/>
              <w:autoSpaceDN w:val="0"/>
              <w:adjustRightInd w:val="0"/>
              <w:rPr>
                <w:rFonts w:cs="Arial"/>
                <w:bCs/>
                <w:sz w:val="20"/>
                <w:szCs w:val="20"/>
              </w:rPr>
            </w:pPr>
          </w:p>
          <w:p w:rsidR="000A3B62" w:rsidRPr="00EA7AEA" w:rsidRDefault="000A3B62" w:rsidP="00376CE4">
            <w:pPr>
              <w:autoSpaceDE w:val="0"/>
              <w:autoSpaceDN w:val="0"/>
              <w:adjustRightInd w:val="0"/>
              <w:rPr>
                <w:rFonts w:cs="Arial"/>
                <w:bCs/>
                <w:sz w:val="20"/>
                <w:szCs w:val="20"/>
              </w:rPr>
            </w:pPr>
            <w:r w:rsidRPr="00EA7AEA">
              <w:rPr>
                <w:rFonts w:cs="Arial"/>
                <w:bCs/>
                <w:sz w:val="20"/>
                <w:szCs w:val="20"/>
              </w:rPr>
              <w:t>Entities listed in Schedule 1</w:t>
            </w:r>
            <w:r w:rsidR="007115F7" w:rsidRPr="00EA7AEA">
              <w:rPr>
                <w:rFonts w:cs="Arial"/>
                <w:bCs/>
                <w:sz w:val="20"/>
                <w:szCs w:val="20"/>
              </w:rPr>
              <w:t>:</w:t>
            </w:r>
          </w:p>
          <w:p w:rsidR="00376CE4" w:rsidRPr="00EA7AEA" w:rsidRDefault="00376CE4" w:rsidP="00376CE4">
            <w:pPr>
              <w:autoSpaceDE w:val="0"/>
              <w:autoSpaceDN w:val="0"/>
              <w:adjustRightInd w:val="0"/>
              <w:rPr>
                <w:rFonts w:cs="Arial"/>
                <w:bCs/>
                <w:sz w:val="20"/>
                <w:szCs w:val="20"/>
              </w:rPr>
            </w:pPr>
          </w:p>
        </w:tc>
        <w:tc>
          <w:tcPr>
            <w:tcW w:w="2310" w:type="dxa"/>
            <w:vAlign w:val="center"/>
          </w:tcPr>
          <w:p w:rsidR="000A3B62" w:rsidRPr="00EA7AEA" w:rsidRDefault="000A3B62" w:rsidP="00376CE4">
            <w:pPr>
              <w:autoSpaceDE w:val="0"/>
              <w:autoSpaceDN w:val="0"/>
              <w:adjustRightInd w:val="0"/>
              <w:spacing w:before="60" w:after="60"/>
              <w:jc w:val="center"/>
              <w:rPr>
                <w:rFonts w:cs="Arial"/>
                <w:b/>
                <w:bCs/>
                <w:sz w:val="20"/>
                <w:szCs w:val="20"/>
              </w:rPr>
            </w:pPr>
            <w:r w:rsidRPr="00EA7AEA">
              <w:rPr>
                <w:rFonts w:cs="Arial"/>
                <w:b/>
                <w:bCs/>
                <w:sz w:val="20"/>
                <w:szCs w:val="20"/>
              </w:rPr>
              <w:t>£113,057</w:t>
            </w:r>
          </w:p>
        </w:tc>
        <w:tc>
          <w:tcPr>
            <w:tcW w:w="2311" w:type="dxa"/>
            <w:tcBorders>
              <w:bottom w:val="single" w:sz="4" w:space="0" w:color="auto"/>
            </w:tcBorders>
            <w:vAlign w:val="center"/>
          </w:tcPr>
          <w:p w:rsidR="000A3B62" w:rsidRPr="00EA7AEA" w:rsidRDefault="000A3B62" w:rsidP="00376CE4">
            <w:pPr>
              <w:autoSpaceDE w:val="0"/>
              <w:autoSpaceDN w:val="0"/>
              <w:adjustRightInd w:val="0"/>
              <w:spacing w:before="60" w:after="60"/>
              <w:jc w:val="center"/>
              <w:rPr>
                <w:rFonts w:cs="Arial"/>
                <w:b/>
                <w:bCs/>
                <w:sz w:val="20"/>
                <w:szCs w:val="20"/>
              </w:rPr>
            </w:pPr>
            <w:r w:rsidRPr="00EA7AEA">
              <w:rPr>
                <w:rFonts w:cs="Arial"/>
                <w:b/>
                <w:bCs/>
                <w:sz w:val="20"/>
                <w:szCs w:val="20"/>
              </w:rPr>
              <w:t>£113,057</w:t>
            </w:r>
          </w:p>
        </w:tc>
        <w:tc>
          <w:tcPr>
            <w:tcW w:w="2311" w:type="dxa"/>
            <w:vAlign w:val="center"/>
          </w:tcPr>
          <w:p w:rsidR="000A3B62" w:rsidRPr="00EA7AEA" w:rsidRDefault="000A3B62" w:rsidP="00376CE4">
            <w:pPr>
              <w:autoSpaceDE w:val="0"/>
              <w:autoSpaceDN w:val="0"/>
              <w:adjustRightInd w:val="0"/>
              <w:spacing w:before="60" w:after="60"/>
              <w:jc w:val="center"/>
              <w:rPr>
                <w:rFonts w:cs="Arial"/>
                <w:b/>
                <w:bCs/>
                <w:sz w:val="20"/>
                <w:szCs w:val="20"/>
              </w:rPr>
            </w:pPr>
            <w:r w:rsidRPr="00EA7AEA">
              <w:rPr>
                <w:rFonts w:cs="Arial"/>
                <w:b/>
                <w:bCs/>
                <w:sz w:val="20"/>
                <w:szCs w:val="20"/>
              </w:rPr>
              <w:t>£4,348,350</w:t>
            </w:r>
          </w:p>
        </w:tc>
      </w:tr>
      <w:tr w:rsidR="00BE69CE" w:rsidRPr="00EA7AEA" w:rsidTr="00376CE4">
        <w:tc>
          <w:tcPr>
            <w:tcW w:w="2310" w:type="dxa"/>
            <w:shd w:val="clear" w:color="auto" w:fill="B8CCE4" w:themeFill="accent1" w:themeFillTint="66"/>
          </w:tcPr>
          <w:p w:rsidR="00376CE4" w:rsidRPr="00EA7AEA" w:rsidRDefault="00376CE4" w:rsidP="00376CE4">
            <w:pPr>
              <w:autoSpaceDE w:val="0"/>
              <w:autoSpaceDN w:val="0"/>
              <w:adjustRightInd w:val="0"/>
              <w:rPr>
                <w:rFonts w:cs="Arial"/>
                <w:bCs/>
                <w:sz w:val="20"/>
                <w:szCs w:val="20"/>
              </w:rPr>
            </w:pPr>
          </w:p>
          <w:p w:rsidR="000A3B62" w:rsidRPr="00EA7AEA" w:rsidRDefault="000A3B62" w:rsidP="00376CE4">
            <w:pPr>
              <w:autoSpaceDE w:val="0"/>
              <w:autoSpaceDN w:val="0"/>
              <w:adjustRightInd w:val="0"/>
              <w:rPr>
                <w:rFonts w:cs="Arial"/>
                <w:bCs/>
                <w:sz w:val="20"/>
                <w:szCs w:val="20"/>
              </w:rPr>
            </w:pPr>
            <w:r w:rsidRPr="00EA7AEA">
              <w:rPr>
                <w:rFonts w:cs="Arial"/>
                <w:bCs/>
                <w:sz w:val="20"/>
                <w:szCs w:val="20"/>
              </w:rPr>
              <w:t>Other Public Sector contracting authorities</w:t>
            </w:r>
            <w:r w:rsidR="007115F7" w:rsidRPr="00EA7AEA">
              <w:rPr>
                <w:rFonts w:cs="Arial"/>
                <w:bCs/>
                <w:sz w:val="20"/>
                <w:szCs w:val="20"/>
              </w:rPr>
              <w:t>:</w:t>
            </w:r>
          </w:p>
          <w:p w:rsidR="00376CE4" w:rsidRPr="00EA7AEA" w:rsidRDefault="00376CE4" w:rsidP="00376CE4">
            <w:pPr>
              <w:autoSpaceDE w:val="0"/>
              <w:autoSpaceDN w:val="0"/>
              <w:adjustRightInd w:val="0"/>
              <w:rPr>
                <w:rFonts w:cs="Arial"/>
                <w:bCs/>
                <w:sz w:val="20"/>
                <w:szCs w:val="20"/>
              </w:rPr>
            </w:pPr>
          </w:p>
        </w:tc>
        <w:tc>
          <w:tcPr>
            <w:tcW w:w="2310" w:type="dxa"/>
            <w:vAlign w:val="center"/>
          </w:tcPr>
          <w:p w:rsidR="000A3B62" w:rsidRPr="00EA7AEA" w:rsidRDefault="000A3B62" w:rsidP="00376CE4">
            <w:pPr>
              <w:autoSpaceDE w:val="0"/>
              <w:autoSpaceDN w:val="0"/>
              <w:adjustRightInd w:val="0"/>
              <w:spacing w:before="60" w:after="60"/>
              <w:jc w:val="center"/>
              <w:rPr>
                <w:rFonts w:cs="Arial"/>
                <w:b/>
                <w:bCs/>
                <w:sz w:val="20"/>
                <w:szCs w:val="20"/>
              </w:rPr>
            </w:pPr>
            <w:r w:rsidRPr="00EA7AEA">
              <w:rPr>
                <w:rFonts w:cs="Arial"/>
                <w:b/>
                <w:bCs/>
                <w:sz w:val="20"/>
                <w:szCs w:val="20"/>
              </w:rPr>
              <w:t>£173,934</w:t>
            </w:r>
          </w:p>
        </w:tc>
        <w:tc>
          <w:tcPr>
            <w:tcW w:w="2311" w:type="dxa"/>
            <w:shd w:val="clear" w:color="auto" w:fill="auto"/>
            <w:vAlign w:val="center"/>
          </w:tcPr>
          <w:p w:rsidR="000A3B62" w:rsidRPr="00EA7AEA" w:rsidRDefault="000A3B62" w:rsidP="00376CE4">
            <w:pPr>
              <w:autoSpaceDE w:val="0"/>
              <w:autoSpaceDN w:val="0"/>
              <w:adjustRightInd w:val="0"/>
              <w:spacing w:before="60" w:after="60"/>
              <w:jc w:val="center"/>
              <w:rPr>
                <w:rFonts w:cs="Arial"/>
                <w:b/>
                <w:bCs/>
                <w:sz w:val="20"/>
                <w:szCs w:val="20"/>
              </w:rPr>
            </w:pPr>
            <w:r w:rsidRPr="00EA7AEA">
              <w:rPr>
                <w:rFonts w:cs="Arial"/>
                <w:b/>
                <w:bCs/>
                <w:sz w:val="20"/>
                <w:szCs w:val="20"/>
              </w:rPr>
              <w:t>£173,934*</w:t>
            </w:r>
            <w:r w:rsidR="006F4C7D" w:rsidRPr="00EA7AEA">
              <w:rPr>
                <w:rFonts w:cs="Arial"/>
                <w:b/>
                <w:bCs/>
                <w:sz w:val="20"/>
                <w:szCs w:val="20"/>
              </w:rPr>
              <w:t>*</w:t>
            </w:r>
          </w:p>
        </w:tc>
        <w:tc>
          <w:tcPr>
            <w:tcW w:w="2311" w:type="dxa"/>
            <w:vAlign w:val="center"/>
          </w:tcPr>
          <w:p w:rsidR="000A3B62" w:rsidRPr="00EA7AEA" w:rsidRDefault="000A3B62" w:rsidP="00376CE4">
            <w:pPr>
              <w:autoSpaceDE w:val="0"/>
              <w:autoSpaceDN w:val="0"/>
              <w:adjustRightInd w:val="0"/>
              <w:spacing w:before="60" w:after="60"/>
              <w:jc w:val="center"/>
              <w:rPr>
                <w:rFonts w:cs="Arial"/>
                <w:b/>
                <w:bCs/>
                <w:sz w:val="20"/>
                <w:szCs w:val="20"/>
              </w:rPr>
            </w:pPr>
            <w:r w:rsidRPr="00EA7AEA">
              <w:rPr>
                <w:rFonts w:cs="Arial"/>
                <w:b/>
                <w:bCs/>
                <w:sz w:val="20"/>
                <w:szCs w:val="20"/>
              </w:rPr>
              <w:t>£4,348,350</w:t>
            </w:r>
          </w:p>
        </w:tc>
      </w:tr>
    </w:tbl>
    <w:p w:rsidR="000A3B62" w:rsidRPr="00EA7AEA" w:rsidRDefault="000A3B62" w:rsidP="000A3B62">
      <w:pPr>
        <w:autoSpaceDE w:val="0"/>
        <w:autoSpaceDN w:val="0"/>
        <w:adjustRightInd w:val="0"/>
        <w:jc w:val="center"/>
        <w:rPr>
          <w:rFonts w:cs="Arial"/>
          <w:bCs/>
          <w:sz w:val="20"/>
          <w:szCs w:val="20"/>
        </w:rPr>
      </w:pPr>
      <w:r w:rsidRPr="00EA7AEA">
        <w:rPr>
          <w:rFonts w:cs="Arial"/>
          <w:bCs/>
          <w:sz w:val="20"/>
          <w:szCs w:val="20"/>
        </w:rPr>
        <w:t>Thresholds shown above are net of VAT</w:t>
      </w:r>
    </w:p>
    <w:p w:rsidR="000A3B62" w:rsidRPr="00EA7AEA" w:rsidRDefault="000A3B62" w:rsidP="000A3B62">
      <w:pPr>
        <w:autoSpaceDE w:val="0"/>
        <w:autoSpaceDN w:val="0"/>
        <w:adjustRightInd w:val="0"/>
        <w:jc w:val="both"/>
        <w:rPr>
          <w:rFonts w:cs="Arial"/>
          <w:b/>
          <w:bCs/>
        </w:rPr>
      </w:pPr>
    </w:p>
    <w:p w:rsidR="006F4C7D" w:rsidRPr="00EA7AEA" w:rsidRDefault="006F4C7D" w:rsidP="000A3B62">
      <w:pPr>
        <w:autoSpaceDE w:val="0"/>
        <w:autoSpaceDN w:val="0"/>
        <w:adjustRightInd w:val="0"/>
        <w:jc w:val="both"/>
        <w:rPr>
          <w:rFonts w:cs="Arial"/>
          <w:bCs/>
          <w:sz w:val="20"/>
          <w:szCs w:val="20"/>
        </w:rPr>
      </w:pPr>
      <w:r w:rsidRPr="00EA7AEA">
        <w:rPr>
          <w:rFonts w:cs="Arial"/>
          <w:bCs/>
          <w:sz w:val="20"/>
          <w:szCs w:val="20"/>
        </w:rPr>
        <w:t>*Rates show applicable from 1 January 2012</w:t>
      </w:r>
    </w:p>
    <w:p w:rsidR="000A3B62" w:rsidRPr="00EA7AEA" w:rsidRDefault="006F4C7D" w:rsidP="000A3B62">
      <w:pPr>
        <w:autoSpaceDE w:val="0"/>
        <w:autoSpaceDN w:val="0"/>
        <w:adjustRightInd w:val="0"/>
        <w:jc w:val="both"/>
        <w:rPr>
          <w:rFonts w:cs="Arial"/>
          <w:bCs/>
          <w:sz w:val="20"/>
          <w:szCs w:val="20"/>
        </w:rPr>
      </w:pPr>
      <w:r w:rsidRPr="00EA7AEA">
        <w:rPr>
          <w:rFonts w:cs="Arial"/>
          <w:bCs/>
          <w:sz w:val="20"/>
          <w:szCs w:val="20"/>
        </w:rPr>
        <w:t>*</w:t>
      </w:r>
      <w:r w:rsidR="000A3B62" w:rsidRPr="00EA7AEA">
        <w:rPr>
          <w:rFonts w:cs="Arial"/>
          <w:bCs/>
          <w:sz w:val="20"/>
          <w:szCs w:val="20"/>
        </w:rPr>
        <w:t>*Services threshold of £173,934 u</w:t>
      </w:r>
      <w:r w:rsidR="00E46443" w:rsidRPr="00EA7AEA">
        <w:rPr>
          <w:rFonts w:cs="Arial"/>
          <w:bCs/>
          <w:sz w:val="20"/>
          <w:szCs w:val="20"/>
        </w:rPr>
        <w:t>sed for the provision of Health C</w:t>
      </w:r>
      <w:r w:rsidR="000A3B62" w:rsidRPr="00EA7AEA">
        <w:rPr>
          <w:rFonts w:cs="Arial"/>
          <w:bCs/>
          <w:sz w:val="20"/>
          <w:szCs w:val="20"/>
        </w:rPr>
        <w:t>are Services (EU Service Category: Part B)</w:t>
      </w:r>
    </w:p>
    <w:p w:rsidR="001878EE" w:rsidRPr="00EA7AEA" w:rsidRDefault="004D2624" w:rsidP="00264B71">
      <w:pPr>
        <w:pStyle w:val="ListParagraph"/>
        <w:numPr>
          <w:ilvl w:val="0"/>
          <w:numId w:val="3"/>
        </w:numPr>
        <w:autoSpaceDE w:val="0"/>
        <w:autoSpaceDN w:val="0"/>
        <w:adjustRightInd w:val="0"/>
        <w:ind w:left="709" w:hanging="709"/>
        <w:jc w:val="both"/>
        <w:rPr>
          <w:rFonts w:cs="Arial"/>
          <w:u w:val="single"/>
        </w:rPr>
      </w:pPr>
      <w:r w:rsidRPr="00EA7AEA">
        <w:rPr>
          <w:rFonts w:cs="Arial"/>
          <w:u w:val="single"/>
        </w:rPr>
        <w:lastRenderedPageBreak/>
        <w:t>Market Analysis:</w:t>
      </w:r>
    </w:p>
    <w:p w:rsidR="004D2624" w:rsidRPr="00EA7AEA" w:rsidRDefault="004D2624" w:rsidP="004D2624">
      <w:pPr>
        <w:autoSpaceDE w:val="0"/>
        <w:autoSpaceDN w:val="0"/>
        <w:adjustRightInd w:val="0"/>
        <w:jc w:val="both"/>
        <w:rPr>
          <w:rFonts w:cs="Arial"/>
        </w:rPr>
      </w:pPr>
    </w:p>
    <w:p w:rsidR="000A3B62" w:rsidRPr="00EA7AEA" w:rsidRDefault="00D4121E" w:rsidP="000A3B62">
      <w:pPr>
        <w:autoSpaceDE w:val="0"/>
        <w:autoSpaceDN w:val="0"/>
        <w:adjustRightInd w:val="0"/>
        <w:jc w:val="both"/>
        <w:rPr>
          <w:rFonts w:cs="Arial"/>
          <w:bCs/>
        </w:rPr>
      </w:pPr>
      <w:r w:rsidRPr="00EA7AEA">
        <w:rPr>
          <w:rFonts w:cs="Arial"/>
          <w:bCs/>
        </w:rPr>
        <w:t>G</w:t>
      </w:r>
      <w:r w:rsidR="000A3B62" w:rsidRPr="00EA7AEA">
        <w:rPr>
          <w:rFonts w:cs="Arial"/>
          <w:bCs/>
        </w:rPr>
        <w:t>CCG procurement staffs / CSCSU contracts staff should utilise service specification detail to benchmark comparable contracts to determine a range of fair and appropriate service costs.  This activity should be conducted routinely for all high value health</w:t>
      </w:r>
      <w:r w:rsidR="00E46443" w:rsidRPr="00EA7AEA">
        <w:rPr>
          <w:rFonts w:cs="Arial"/>
          <w:bCs/>
        </w:rPr>
        <w:t xml:space="preserve"> </w:t>
      </w:r>
      <w:r w:rsidR="000A3B62" w:rsidRPr="00EA7AEA">
        <w:rPr>
          <w:rFonts w:cs="Arial"/>
          <w:bCs/>
        </w:rPr>
        <w:t>care services and prior to determining whether formal procurement is undertaken.</w:t>
      </w:r>
    </w:p>
    <w:p w:rsidR="000A3B62" w:rsidRPr="00EA7AEA" w:rsidRDefault="000A3B62" w:rsidP="000A3B62">
      <w:pPr>
        <w:autoSpaceDE w:val="0"/>
        <w:autoSpaceDN w:val="0"/>
        <w:adjustRightInd w:val="0"/>
        <w:jc w:val="both"/>
        <w:rPr>
          <w:rFonts w:cs="Arial"/>
          <w:bCs/>
        </w:rPr>
      </w:pPr>
    </w:p>
    <w:p w:rsidR="000A3B62" w:rsidRPr="00EA7AEA" w:rsidRDefault="000A3B62" w:rsidP="000A3B62">
      <w:pPr>
        <w:autoSpaceDE w:val="0"/>
        <w:autoSpaceDN w:val="0"/>
        <w:adjustRightInd w:val="0"/>
        <w:jc w:val="both"/>
        <w:rPr>
          <w:rFonts w:cs="Arial"/>
          <w:bCs/>
        </w:rPr>
      </w:pPr>
      <w:r w:rsidRPr="00EA7AEA">
        <w:rPr>
          <w:rFonts w:cs="Arial"/>
          <w:bCs/>
        </w:rPr>
        <w:t xml:space="preserve">Market analysis is carried out to determine if commercial sources exist and to establish whether a preferred contract option will result in fair and reasonable service costs.  The </w:t>
      </w:r>
      <w:r w:rsidR="00D4121E" w:rsidRPr="00EA7AEA">
        <w:rPr>
          <w:rFonts w:cs="Arial"/>
          <w:bCs/>
        </w:rPr>
        <w:t>G</w:t>
      </w:r>
      <w:r w:rsidRPr="00EA7AEA">
        <w:rPr>
          <w:rFonts w:cs="Arial"/>
          <w:bCs/>
        </w:rPr>
        <w:t>CCG should seek to determine:</w:t>
      </w:r>
    </w:p>
    <w:p w:rsidR="000A3B62" w:rsidRPr="00EA7AEA" w:rsidRDefault="000A3B62" w:rsidP="000A3B62">
      <w:pPr>
        <w:autoSpaceDE w:val="0"/>
        <w:autoSpaceDN w:val="0"/>
        <w:adjustRightInd w:val="0"/>
        <w:jc w:val="both"/>
        <w:rPr>
          <w:rFonts w:cs="Arial"/>
          <w:bCs/>
        </w:rPr>
      </w:pPr>
    </w:p>
    <w:p w:rsidR="000A3B62" w:rsidRPr="00EA7AEA" w:rsidRDefault="000A3B62" w:rsidP="00264B71">
      <w:pPr>
        <w:pStyle w:val="ListParagraph"/>
        <w:numPr>
          <w:ilvl w:val="0"/>
          <w:numId w:val="46"/>
        </w:numPr>
        <w:autoSpaceDE w:val="0"/>
        <w:autoSpaceDN w:val="0"/>
        <w:adjustRightInd w:val="0"/>
        <w:jc w:val="both"/>
        <w:rPr>
          <w:rFonts w:cs="Arial"/>
          <w:bCs/>
        </w:rPr>
      </w:pPr>
      <w:r w:rsidRPr="00EA7AEA">
        <w:rPr>
          <w:rFonts w:cs="Arial"/>
          <w:bCs/>
        </w:rPr>
        <w:t xml:space="preserve">Likely (whole service) costs </w:t>
      </w:r>
    </w:p>
    <w:p w:rsidR="000A3B62" w:rsidRPr="00EA7AEA" w:rsidRDefault="000A3B62" w:rsidP="00264B71">
      <w:pPr>
        <w:pStyle w:val="ListParagraph"/>
        <w:numPr>
          <w:ilvl w:val="0"/>
          <w:numId w:val="46"/>
        </w:numPr>
        <w:autoSpaceDE w:val="0"/>
        <w:autoSpaceDN w:val="0"/>
        <w:adjustRightInd w:val="0"/>
        <w:jc w:val="both"/>
        <w:rPr>
          <w:rFonts w:cs="Arial"/>
          <w:bCs/>
        </w:rPr>
      </w:pPr>
      <w:r w:rsidRPr="00EA7AEA">
        <w:rPr>
          <w:rFonts w:cs="Arial"/>
          <w:bCs/>
        </w:rPr>
        <w:t>The types of organisations in the market place capable of delivering the required services</w:t>
      </w:r>
    </w:p>
    <w:p w:rsidR="000A3B62" w:rsidRPr="00EA7AEA" w:rsidRDefault="000A3B62" w:rsidP="00264B71">
      <w:pPr>
        <w:pStyle w:val="ListParagraph"/>
        <w:numPr>
          <w:ilvl w:val="0"/>
          <w:numId w:val="46"/>
        </w:numPr>
        <w:autoSpaceDE w:val="0"/>
        <w:autoSpaceDN w:val="0"/>
        <w:adjustRightInd w:val="0"/>
        <w:jc w:val="both"/>
        <w:rPr>
          <w:rFonts w:cs="Arial"/>
          <w:bCs/>
        </w:rPr>
      </w:pPr>
      <w:r w:rsidRPr="00EA7AEA">
        <w:rPr>
          <w:rFonts w:cs="Arial"/>
          <w:bCs/>
        </w:rPr>
        <w:t>Whether existing or new organisations have sufficient capacity to deliver the services solutions sought</w:t>
      </w:r>
    </w:p>
    <w:p w:rsidR="000A3B62" w:rsidRPr="00EA7AEA" w:rsidRDefault="000A3B62" w:rsidP="00264B71">
      <w:pPr>
        <w:pStyle w:val="ListParagraph"/>
        <w:numPr>
          <w:ilvl w:val="0"/>
          <w:numId w:val="46"/>
        </w:numPr>
        <w:autoSpaceDE w:val="0"/>
        <w:autoSpaceDN w:val="0"/>
        <w:adjustRightInd w:val="0"/>
        <w:jc w:val="both"/>
        <w:rPr>
          <w:rFonts w:cs="Arial"/>
          <w:bCs/>
        </w:rPr>
      </w:pPr>
      <w:r w:rsidRPr="00EA7AEA">
        <w:rPr>
          <w:rFonts w:cs="Arial"/>
          <w:bCs/>
        </w:rPr>
        <w:t>The most appropriate / proportionate procurement route</w:t>
      </w:r>
    </w:p>
    <w:p w:rsidR="000A3B62" w:rsidRPr="00EA7AEA" w:rsidRDefault="000A3B62" w:rsidP="000A3B62">
      <w:pPr>
        <w:autoSpaceDE w:val="0"/>
        <w:autoSpaceDN w:val="0"/>
        <w:adjustRightInd w:val="0"/>
        <w:jc w:val="both"/>
        <w:rPr>
          <w:rFonts w:cs="Arial"/>
          <w:bCs/>
        </w:rPr>
      </w:pPr>
    </w:p>
    <w:p w:rsidR="000A3B62" w:rsidRPr="00EA7AEA" w:rsidRDefault="000A3B62" w:rsidP="000A3B62">
      <w:pPr>
        <w:autoSpaceDE w:val="0"/>
        <w:autoSpaceDN w:val="0"/>
        <w:adjustRightInd w:val="0"/>
        <w:jc w:val="both"/>
        <w:rPr>
          <w:rFonts w:cs="Arial"/>
          <w:bCs/>
        </w:rPr>
      </w:pPr>
      <w:r w:rsidRPr="00EA7AEA">
        <w:rPr>
          <w:rFonts w:cs="Arial"/>
          <w:bCs/>
        </w:rPr>
        <w:t xml:space="preserve">Market analysis should allow the </w:t>
      </w:r>
      <w:r w:rsidR="00D4121E" w:rsidRPr="00EA7AEA">
        <w:rPr>
          <w:rFonts w:cs="Arial"/>
          <w:bCs/>
        </w:rPr>
        <w:t>G</w:t>
      </w:r>
      <w:r w:rsidRPr="00EA7AEA">
        <w:rPr>
          <w:rFonts w:cs="Arial"/>
          <w:bCs/>
        </w:rPr>
        <w:t xml:space="preserve">CCG to recognise local SME’s and voluntary sector organisations operating in the area and help the </w:t>
      </w:r>
      <w:r w:rsidR="00D4121E" w:rsidRPr="00EA7AEA">
        <w:rPr>
          <w:rFonts w:cs="Arial"/>
          <w:bCs/>
        </w:rPr>
        <w:t>G</w:t>
      </w:r>
      <w:r w:rsidRPr="00EA7AEA">
        <w:rPr>
          <w:rFonts w:cs="Arial"/>
          <w:bCs/>
        </w:rPr>
        <w:t>CCG to develop a capacity building plan for these organisations where required.  This is useful when making service commissioning and procurement decisions by identifying market trends, market stability and performance profile of key prospective bidders.</w:t>
      </w:r>
    </w:p>
    <w:p w:rsidR="000A3B62" w:rsidRPr="00EA7AEA" w:rsidRDefault="000A3B62" w:rsidP="000A3B62">
      <w:pPr>
        <w:autoSpaceDE w:val="0"/>
        <w:autoSpaceDN w:val="0"/>
        <w:adjustRightInd w:val="0"/>
        <w:jc w:val="both"/>
        <w:rPr>
          <w:rFonts w:cs="Arial"/>
          <w:bCs/>
        </w:rPr>
      </w:pPr>
    </w:p>
    <w:p w:rsidR="000A3B62" w:rsidRPr="00EA7AEA" w:rsidRDefault="000A3B62" w:rsidP="000A3B62">
      <w:pPr>
        <w:autoSpaceDE w:val="0"/>
        <w:autoSpaceDN w:val="0"/>
        <w:adjustRightInd w:val="0"/>
        <w:jc w:val="both"/>
        <w:rPr>
          <w:rFonts w:cs="Arial"/>
          <w:bCs/>
        </w:rPr>
      </w:pPr>
      <w:r w:rsidRPr="00EA7AEA">
        <w:rPr>
          <w:rFonts w:cs="Arial"/>
          <w:bCs/>
        </w:rPr>
        <w:t xml:space="preserve">Capacity building is an opportunity to identify areas of strength in supplying organisations to the </w:t>
      </w:r>
      <w:r w:rsidR="00D4121E" w:rsidRPr="00EA7AEA">
        <w:rPr>
          <w:rFonts w:cs="Arial"/>
          <w:bCs/>
        </w:rPr>
        <w:t>G</w:t>
      </w:r>
      <w:r w:rsidRPr="00EA7AEA">
        <w:rPr>
          <w:rFonts w:cs="Arial"/>
          <w:bCs/>
        </w:rPr>
        <w:t xml:space="preserve">CCG and setting out opportunities for their development.  To achieve this, </w:t>
      </w:r>
      <w:r w:rsidR="00D4121E" w:rsidRPr="00EA7AEA">
        <w:rPr>
          <w:rFonts w:cs="Arial"/>
          <w:bCs/>
        </w:rPr>
        <w:t>G</w:t>
      </w:r>
      <w:r w:rsidRPr="00EA7AEA">
        <w:rPr>
          <w:rFonts w:cs="Arial"/>
          <w:bCs/>
        </w:rPr>
        <w:t xml:space="preserve">CCG staffs should work with potential service providers, as requested, to offer support, advice, training appertaining to the competitive tender process.  This should enable SME’s to compete more fairly with larger organisations. </w:t>
      </w:r>
    </w:p>
    <w:p w:rsidR="000A3B62" w:rsidRPr="00EA7AEA" w:rsidRDefault="000A3B62" w:rsidP="004D2624">
      <w:pPr>
        <w:autoSpaceDE w:val="0"/>
        <w:autoSpaceDN w:val="0"/>
        <w:adjustRightInd w:val="0"/>
        <w:jc w:val="both"/>
        <w:rPr>
          <w:rFonts w:cs="Arial"/>
        </w:rPr>
      </w:pPr>
    </w:p>
    <w:p w:rsidR="004D2624" w:rsidRPr="00EA7AEA" w:rsidRDefault="004D2624" w:rsidP="004D2624">
      <w:pPr>
        <w:autoSpaceDE w:val="0"/>
        <w:autoSpaceDN w:val="0"/>
        <w:adjustRightInd w:val="0"/>
        <w:jc w:val="both"/>
        <w:rPr>
          <w:rFonts w:cs="Arial"/>
        </w:rPr>
      </w:pPr>
    </w:p>
    <w:p w:rsidR="001878EE" w:rsidRPr="00EA7AEA" w:rsidRDefault="004D2624" w:rsidP="00264B71">
      <w:pPr>
        <w:pStyle w:val="ListParagraph"/>
        <w:numPr>
          <w:ilvl w:val="0"/>
          <w:numId w:val="3"/>
        </w:numPr>
        <w:autoSpaceDE w:val="0"/>
        <w:autoSpaceDN w:val="0"/>
        <w:adjustRightInd w:val="0"/>
        <w:ind w:left="709" w:hanging="709"/>
        <w:jc w:val="both"/>
        <w:rPr>
          <w:rFonts w:cs="Arial"/>
          <w:u w:val="single"/>
        </w:rPr>
      </w:pPr>
      <w:r w:rsidRPr="00EA7AEA">
        <w:rPr>
          <w:rFonts w:cs="Arial"/>
          <w:u w:val="single"/>
        </w:rPr>
        <w:t>Provider Engagement:</w:t>
      </w:r>
    </w:p>
    <w:p w:rsidR="004D2624" w:rsidRPr="00EA7AEA" w:rsidRDefault="004D2624" w:rsidP="004D2624">
      <w:pPr>
        <w:autoSpaceDE w:val="0"/>
        <w:autoSpaceDN w:val="0"/>
        <w:adjustRightInd w:val="0"/>
        <w:jc w:val="both"/>
        <w:rPr>
          <w:rFonts w:cs="Arial"/>
        </w:rPr>
      </w:pPr>
    </w:p>
    <w:p w:rsidR="00780FEE" w:rsidRPr="00EA7AEA" w:rsidRDefault="00E904A8" w:rsidP="004D2624">
      <w:pPr>
        <w:autoSpaceDE w:val="0"/>
        <w:autoSpaceDN w:val="0"/>
        <w:adjustRightInd w:val="0"/>
        <w:jc w:val="both"/>
        <w:rPr>
          <w:rFonts w:cs="Arial"/>
        </w:rPr>
      </w:pPr>
      <w:r w:rsidRPr="00EA7AEA">
        <w:rPr>
          <w:rFonts w:cs="Arial"/>
        </w:rPr>
        <w:t xml:space="preserve">Engagement with potential providers </w:t>
      </w:r>
      <w:r w:rsidR="00141683" w:rsidRPr="00EA7AEA">
        <w:rPr>
          <w:rFonts w:cs="Arial"/>
        </w:rPr>
        <w:t>of health</w:t>
      </w:r>
      <w:r w:rsidR="00E46443" w:rsidRPr="00EA7AEA">
        <w:rPr>
          <w:rFonts w:cs="Arial"/>
        </w:rPr>
        <w:t xml:space="preserve"> </w:t>
      </w:r>
      <w:r w:rsidR="00141683" w:rsidRPr="00EA7AEA">
        <w:rPr>
          <w:rFonts w:cs="Arial"/>
        </w:rPr>
        <w:t xml:space="preserve">care services </w:t>
      </w:r>
      <w:r w:rsidRPr="00EA7AEA">
        <w:rPr>
          <w:rFonts w:cs="Arial"/>
        </w:rPr>
        <w:t xml:space="preserve">is an </w:t>
      </w:r>
      <w:r w:rsidR="00141683" w:rsidRPr="00EA7AEA">
        <w:rPr>
          <w:rFonts w:cs="Arial"/>
        </w:rPr>
        <w:t>important</w:t>
      </w:r>
      <w:r w:rsidRPr="00EA7AEA">
        <w:rPr>
          <w:rFonts w:cs="Arial"/>
        </w:rPr>
        <w:t xml:space="preserve"> element of effective commissioning.  </w:t>
      </w:r>
      <w:r w:rsidR="00141683" w:rsidRPr="00EA7AEA">
        <w:rPr>
          <w:rFonts w:cs="Arial"/>
        </w:rPr>
        <w:t>It is essential that both incumbent providers (where applicable) and prospective providers are included equally in the engagement process.</w:t>
      </w:r>
    </w:p>
    <w:p w:rsidR="00780FEE" w:rsidRPr="00EA7AEA" w:rsidRDefault="00780FEE" w:rsidP="004D2624">
      <w:pPr>
        <w:autoSpaceDE w:val="0"/>
        <w:autoSpaceDN w:val="0"/>
        <w:adjustRightInd w:val="0"/>
        <w:jc w:val="both"/>
        <w:rPr>
          <w:rFonts w:cs="Arial"/>
        </w:rPr>
      </w:pPr>
    </w:p>
    <w:p w:rsidR="00CA0752" w:rsidRPr="00EA7AEA" w:rsidRDefault="00D4121E" w:rsidP="004D2624">
      <w:pPr>
        <w:autoSpaceDE w:val="0"/>
        <w:autoSpaceDN w:val="0"/>
        <w:adjustRightInd w:val="0"/>
        <w:jc w:val="both"/>
        <w:rPr>
          <w:rFonts w:cs="Arial"/>
        </w:rPr>
      </w:pPr>
      <w:r w:rsidRPr="00EA7AEA">
        <w:rPr>
          <w:rFonts w:cs="Arial"/>
        </w:rPr>
        <w:t>G</w:t>
      </w:r>
      <w:r w:rsidR="00CA0752" w:rsidRPr="00EA7AEA">
        <w:rPr>
          <w:rFonts w:cs="Arial"/>
        </w:rPr>
        <w:t>CCG Commissioners may</w:t>
      </w:r>
      <w:r w:rsidR="00C66EDB" w:rsidRPr="00EA7AEA">
        <w:rPr>
          <w:rFonts w:cs="Arial"/>
        </w:rPr>
        <w:t>, and in accordance with Department of Health guidelines,</w:t>
      </w:r>
      <w:r w:rsidR="00CA0752" w:rsidRPr="00EA7AEA">
        <w:rPr>
          <w:rFonts w:cs="Arial"/>
        </w:rPr>
        <w:t xml:space="preserve"> use provider engagement to:</w:t>
      </w:r>
    </w:p>
    <w:p w:rsidR="00CA0752" w:rsidRPr="00EA7AEA" w:rsidRDefault="00CA0752" w:rsidP="004D2624">
      <w:pPr>
        <w:autoSpaceDE w:val="0"/>
        <w:autoSpaceDN w:val="0"/>
        <w:adjustRightInd w:val="0"/>
        <w:jc w:val="both"/>
        <w:rPr>
          <w:rFonts w:cs="Arial"/>
        </w:rPr>
      </w:pPr>
    </w:p>
    <w:p w:rsidR="000A3B62" w:rsidRPr="00EA7AEA" w:rsidRDefault="00CA0752" w:rsidP="00264B71">
      <w:pPr>
        <w:pStyle w:val="ListParagraph"/>
        <w:numPr>
          <w:ilvl w:val="0"/>
          <w:numId w:val="56"/>
        </w:numPr>
        <w:autoSpaceDE w:val="0"/>
        <w:autoSpaceDN w:val="0"/>
        <w:adjustRightInd w:val="0"/>
        <w:jc w:val="both"/>
        <w:rPr>
          <w:rFonts w:cs="Arial"/>
        </w:rPr>
      </w:pPr>
      <w:r w:rsidRPr="00EA7AEA">
        <w:rPr>
          <w:rFonts w:cs="Arial"/>
        </w:rPr>
        <w:t>Consider provider willingness / capability to deliver a service</w:t>
      </w:r>
    </w:p>
    <w:p w:rsidR="00CA0752" w:rsidRPr="00EA7AEA" w:rsidRDefault="00CA0752" w:rsidP="00264B71">
      <w:pPr>
        <w:pStyle w:val="ListParagraph"/>
        <w:numPr>
          <w:ilvl w:val="0"/>
          <w:numId w:val="56"/>
        </w:numPr>
        <w:autoSpaceDE w:val="0"/>
        <w:autoSpaceDN w:val="0"/>
        <w:adjustRightInd w:val="0"/>
        <w:jc w:val="both"/>
        <w:rPr>
          <w:rFonts w:cs="Arial"/>
        </w:rPr>
      </w:pPr>
      <w:r w:rsidRPr="00EA7AEA">
        <w:rPr>
          <w:rFonts w:cs="Arial"/>
        </w:rPr>
        <w:t>Establish / understand current provider landscape</w:t>
      </w:r>
    </w:p>
    <w:p w:rsidR="00CA0752" w:rsidRPr="00EA7AEA" w:rsidRDefault="00CA0752" w:rsidP="00264B71">
      <w:pPr>
        <w:pStyle w:val="ListParagraph"/>
        <w:numPr>
          <w:ilvl w:val="0"/>
          <w:numId w:val="56"/>
        </w:numPr>
        <w:autoSpaceDE w:val="0"/>
        <w:autoSpaceDN w:val="0"/>
        <w:adjustRightInd w:val="0"/>
        <w:jc w:val="both"/>
        <w:rPr>
          <w:rFonts w:cs="Arial"/>
        </w:rPr>
      </w:pPr>
      <w:r w:rsidRPr="00EA7AEA">
        <w:rPr>
          <w:rFonts w:cs="Arial"/>
        </w:rPr>
        <w:t>Lessons learnt from previous procurement schemes</w:t>
      </w:r>
    </w:p>
    <w:p w:rsidR="00CA0752" w:rsidRPr="00EA7AEA" w:rsidRDefault="00CA0752" w:rsidP="00264B71">
      <w:pPr>
        <w:pStyle w:val="ListParagraph"/>
        <w:numPr>
          <w:ilvl w:val="0"/>
          <w:numId w:val="56"/>
        </w:numPr>
        <w:autoSpaceDE w:val="0"/>
        <w:autoSpaceDN w:val="0"/>
        <w:adjustRightInd w:val="0"/>
        <w:jc w:val="both"/>
        <w:rPr>
          <w:rFonts w:cs="Arial"/>
        </w:rPr>
      </w:pPr>
      <w:r w:rsidRPr="00EA7AEA">
        <w:rPr>
          <w:rFonts w:cs="Arial"/>
        </w:rPr>
        <w:t>Assessing barriers to entry</w:t>
      </w:r>
    </w:p>
    <w:p w:rsidR="00CA0752" w:rsidRPr="00EA7AEA" w:rsidRDefault="00CA0752" w:rsidP="00264B71">
      <w:pPr>
        <w:pStyle w:val="ListParagraph"/>
        <w:numPr>
          <w:ilvl w:val="0"/>
          <w:numId w:val="56"/>
        </w:numPr>
        <w:autoSpaceDE w:val="0"/>
        <w:autoSpaceDN w:val="0"/>
        <w:adjustRightInd w:val="0"/>
        <w:jc w:val="both"/>
        <w:rPr>
          <w:rFonts w:cs="Arial"/>
        </w:rPr>
      </w:pPr>
      <w:r w:rsidRPr="00EA7AEA">
        <w:rPr>
          <w:rFonts w:cs="Arial"/>
        </w:rPr>
        <w:t>Development and testing of service specifications</w:t>
      </w:r>
    </w:p>
    <w:p w:rsidR="00CA0752" w:rsidRPr="00EA7AEA" w:rsidRDefault="00CA0752" w:rsidP="00264B71">
      <w:pPr>
        <w:pStyle w:val="ListParagraph"/>
        <w:numPr>
          <w:ilvl w:val="0"/>
          <w:numId w:val="56"/>
        </w:numPr>
        <w:autoSpaceDE w:val="0"/>
        <w:autoSpaceDN w:val="0"/>
        <w:adjustRightInd w:val="0"/>
        <w:jc w:val="both"/>
        <w:rPr>
          <w:rFonts w:cs="Arial"/>
        </w:rPr>
      </w:pPr>
      <w:r w:rsidRPr="00EA7AEA">
        <w:rPr>
          <w:rFonts w:cs="Arial"/>
        </w:rPr>
        <w:t>Determine most appropriate procurement routes</w:t>
      </w:r>
    </w:p>
    <w:p w:rsidR="00CA0752" w:rsidRPr="00EA7AEA" w:rsidRDefault="00CA0752" w:rsidP="00264B71">
      <w:pPr>
        <w:pStyle w:val="ListParagraph"/>
        <w:numPr>
          <w:ilvl w:val="0"/>
          <w:numId w:val="56"/>
        </w:numPr>
        <w:autoSpaceDE w:val="0"/>
        <w:autoSpaceDN w:val="0"/>
        <w:adjustRightInd w:val="0"/>
        <w:jc w:val="both"/>
        <w:rPr>
          <w:rFonts w:cs="Arial"/>
        </w:rPr>
      </w:pPr>
      <w:r w:rsidRPr="00EA7AEA">
        <w:rPr>
          <w:rFonts w:cs="Arial"/>
        </w:rPr>
        <w:t>Establish provider approaches to cost, risk, innovation, capacity, service locations and staffing requirements.</w:t>
      </w:r>
    </w:p>
    <w:p w:rsidR="000A3B62" w:rsidRPr="00EA7AEA" w:rsidRDefault="000A3B62" w:rsidP="004D2624">
      <w:pPr>
        <w:autoSpaceDE w:val="0"/>
        <w:autoSpaceDN w:val="0"/>
        <w:adjustRightInd w:val="0"/>
        <w:jc w:val="both"/>
        <w:rPr>
          <w:rFonts w:cs="Arial"/>
        </w:rPr>
      </w:pPr>
    </w:p>
    <w:p w:rsidR="00F5630A" w:rsidRPr="00EA7AEA" w:rsidRDefault="00F5630A" w:rsidP="004D2624">
      <w:pPr>
        <w:autoSpaceDE w:val="0"/>
        <w:autoSpaceDN w:val="0"/>
        <w:adjustRightInd w:val="0"/>
        <w:jc w:val="both"/>
        <w:rPr>
          <w:rFonts w:cs="Arial"/>
        </w:rPr>
      </w:pPr>
      <w:r w:rsidRPr="00EA7AEA">
        <w:rPr>
          <w:rFonts w:cs="Arial"/>
        </w:rPr>
        <w:t>Resulting specifications will focus on service outcomes and not specific bidder technologies to ensure that any procurement process is without prejudice.</w:t>
      </w:r>
    </w:p>
    <w:p w:rsidR="004D2624" w:rsidRPr="00EA7AEA" w:rsidRDefault="004D2624" w:rsidP="004D2624">
      <w:pPr>
        <w:autoSpaceDE w:val="0"/>
        <w:autoSpaceDN w:val="0"/>
        <w:adjustRightInd w:val="0"/>
        <w:jc w:val="both"/>
        <w:rPr>
          <w:rFonts w:cs="Arial"/>
        </w:rPr>
      </w:pPr>
    </w:p>
    <w:p w:rsidR="00056413" w:rsidRPr="00EA7AEA" w:rsidRDefault="00056413" w:rsidP="004D2624">
      <w:pPr>
        <w:autoSpaceDE w:val="0"/>
        <w:autoSpaceDN w:val="0"/>
        <w:adjustRightInd w:val="0"/>
        <w:jc w:val="both"/>
        <w:rPr>
          <w:rFonts w:cs="Arial"/>
        </w:rPr>
      </w:pPr>
      <w:r w:rsidRPr="00EA7AEA">
        <w:rPr>
          <w:rFonts w:cs="Arial"/>
        </w:rPr>
        <w:t xml:space="preserve">The </w:t>
      </w:r>
      <w:r w:rsidR="00D4121E" w:rsidRPr="00EA7AEA">
        <w:rPr>
          <w:rFonts w:cs="Arial"/>
        </w:rPr>
        <w:t>G</w:t>
      </w:r>
      <w:r w:rsidRPr="00EA7AEA">
        <w:rPr>
          <w:rFonts w:cs="Arial"/>
        </w:rPr>
        <w:t xml:space="preserve">CCG may engender </w:t>
      </w:r>
      <w:r w:rsidR="009975F3" w:rsidRPr="00EA7AEA">
        <w:rPr>
          <w:rFonts w:cs="Arial"/>
        </w:rPr>
        <w:t xml:space="preserve">pre-procurement </w:t>
      </w:r>
      <w:r w:rsidRPr="00EA7AEA">
        <w:rPr>
          <w:rFonts w:cs="Arial"/>
        </w:rPr>
        <w:t>engagement through the following means:</w:t>
      </w:r>
    </w:p>
    <w:p w:rsidR="00056413" w:rsidRPr="00EA7AEA" w:rsidRDefault="00056413" w:rsidP="004D2624">
      <w:pPr>
        <w:autoSpaceDE w:val="0"/>
        <w:autoSpaceDN w:val="0"/>
        <w:adjustRightInd w:val="0"/>
        <w:jc w:val="both"/>
        <w:rPr>
          <w:rFonts w:cs="Arial"/>
        </w:rPr>
      </w:pPr>
    </w:p>
    <w:p w:rsidR="00056413" w:rsidRPr="00EA7AEA" w:rsidRDefault="00056413" w:rsidP="00264B71">
      <w:pPr>
        <w:pStyle w:val="ListParagraph"/>
        <w:numPr>
          <w:ilvl w:val="0"/>
          <w:numId w:val="57"/>
        </w:numPr>
        <w:autoSpaceDE w:val="0"/>
        <w:autoSpaceDN w:val="0"/>
        <w:adjustRightInd w:val="0"/>
        <w:jc w:val="both"/>
        <w:rPr>
          <w:rFonts w:cs="Arial"/>
        </w:rPr>
      </w:pPr>
      <w:r w:rsidRPr="00EA7AEA">
        <w:rPr>
          <w:rFonts w:cs="Arial"/>
        </w:rPr>
        <w:t>Placement of a Supply2Health or journal advertisements</w:t>
      </w:r>
    </w:p>
    <w:p w:rsidR="00056413" w:rsidRPr="00EA7AEA" w:rsidRDefault="00056413" w:rsidP="00264B71">
      <w:pPr>
        <w:pStyle w:val="ListParagraph"/>
        <w:numPr>
          <w:ilvl w:val="0"/>
          <w:numId w:val="57"/>
        </w:numPr>
        <w:autoSpaceDE w:val="0"/>
        <w:autoSpaceDN w:val="0"/>
        <w:adjustRightInd w:val="0"/>
        <w:jc w:val="both"/>
        <w:rPr>
          <w:rFonts w:cs="Arial"/>
        </w:rPr>
      </w:pPr>
      <w:r w:rsidRPr="00EA7AEA">
        <w:rPr>
          <w:rFonts w:cs="Arial"/>
        </w:rPr>
        <w:lastRenderedPageBreak/>
        <w:t>Prior Information Notice</w:t>
      </w:r>
    </w:p>
    <w:p w:rsidR="00056413" w:rsidRPr="00EA7AEA" w:rsidRDefault="009975F3" w:rsidP="00264B71">
      <w:pPr>
        <w:pStyle w:val="ListParagraph"/>
        <w:numPr>
          <w:ilvl w:val="0"/>
          <w:numId w:val="57"/>
        </w:numPr>
        <w:autoSpaceDE w:val="0"/>
        <w:autoSpaceDN w:val="0"/>
        <w:adjustRightInd w:val="0"/>
        <w:jc w:val="both"/>
        <w:rPr>
          <w:rFonts w:cs="Arial"/>
        </w:rPr>
      </w:pPr>
      <w:r w:rsidRPr="00EA7AEA">
        <w:rPr>
          <w:rFonts w:cs="Arial"/>
        </w:rPr>
        <w:t>Public / Private Reference Groups</w:t>
      </w:r>
    </w:p>
    <w:p w:rsidR="009975F3" w:rsidRPr="00EA7AEA" w:rsidRDefault="009975F3" w:rsidP="00264B71">
      <w:pPr>
        <w:pStyle w:val="ListParagraph"/>
        <w:numPr>
          <w:ilvl w:val="0"/>
          <w:numId w:val="57"/>
        </w:numPr>
        <w:autoSpaceDE w:val="0"/>
        <w:autoSpaceDN w:val="0"/>
        <w:adjustRightInd w:val="0"/>
        <w:jc w:val="both"/>
        <w:rPr>
          <w:rFonts w:cs="Arial"/>
        </w:rPr>
      </w:pPr>
      <w:r w:rsidRPr="00EA7AEA">
        <w:rPr>
          <w:rFonts w:cs="Arial"/>
        </w:rPr>
        <w:t>Website notifications</w:t>
      </w:r>
    </w:p>
    <w:p w:rsidR="00056413" w:rsidRPr="00EA7AEA" w:rsidRDefault="00056413" w:rsidP="004D2624">
      <w:pPr>
        <w:autoSpaceDE w:val="0"/>
        <w:autoSpaceDN w:val="0"/>
        <w:adjustRightInd w:val="0"/>
        <w:jc w:val="both"/>
        <w:rPr>
          <w:rFonts w:cs="Arial"/>
        </w:rPr>
      </w:pPr>
    </w:p>
    <w:p w:rsidR="00412026" w:rsidRPr="00EA7AEA" w:rsidRDefault="00412026" w:rsidP="004D2624">
      <w:pPr>
        <w:autoSpaceDE w:val="0"/>
        <w:autoSpaceDN w:val="0"/>
        <w:adjustRightInd w:val="0"/>
        <w:jc w:val="both"/>
        <w:rPr>
          <w:rFonts w:cs="Arial"/>
        </w:rPr>
      </w:pPr>
    </w:p>
    <w:p w:rsidR="004D2624" w:rsidRPr="00EA7AEA" w:rsidRDefault="004D2624" w:rsidP="00264B71">
      <w:pPr>
        <w:pStyle w:val="ListParagraph"/>
        <w:numPr>
          <w:ilvl w:val="0"/>
          <w:numId w:val="3"/>
        </w:numPr>
        <w:autoSpaceDE w:val="0"/>
        <w:autoSpaceDN w:val="0"/>
        <w:adjustRightInd w:val="0"/>
        <w:ind w:left="709" w:hanging="709"/>
        <w:jc w:val="both"/>
        <w:rPr>
          <w:rFonts w:cs="Arial"/>
          <w:u w:val="single"/>
        </w:rPr>
      </w:pPr>
      <w:r w:rsidRPr="00EA7AEA">
        <w:rPr>
          <w:rFonts w:cs="Arial"/>
          <w:u w:val="single"/>
        </w:rPr>
        <w:t>Procurement of Goods and Generic Services:</w:t>
      </w:r>
    </w:p>
    <w:p w:rsidR="001878EE" w:rsidRPr="00EA7AEA" w:rsidRDefault="001878EE" w:rsidP="006F0A88">
      <w:pPr>
        <w:autoSpaceDE w:val="0"/>
        <w:autoSpaceDN w:val="0"/>
        <w:adjustRightInd w:val="0"/>
        <w:jc w:val="both"/>
        <w:rPr>
          <w:rFonts w:cs="Arial"/>
        </w:rPr>
      </w:pPr>
    </w:p>
    <w:p w:rsidR="000A3B62" w:rsidRPr="00EA7AEA" w:rsidRDefault="000A3B62" w:rsidP="000A3B62">
      <w:pPr>
        <w:autoSpaceDE w:val="0"/>
        <w:autoSpaceDN w:val="0"/>
        <w:adjustRightInd w:val="0"/>
        <w:jc w:val="both"/>
        <w:rPr>
          <w:rFonts w:cs="Arial"/>
        </w:rPr>
      </w:pPr>
      <w:r w:rsidRPr="00EA7AEA">
        <w:rPr>
          <w:rFonts w:cs="Arial"/>
        </w:rPr>
        <w:t xml:space="preserve">Procurement for the supply of all goods and generic (non- </w:t>
      </w:r>
      <w:r w:rsidR="00E46443" w:rsidRPr="00EA7AEA">
        <w:rPr>
          <w:rFonts w:cs="Arial"/>
        </w:rPr>
        <w:t xml:space="preserve">health care </w:t>
      </w:r>
      <w:r w:rsidRPr="00EA7AEA">
        <w:rPr>
          <w:rFonts w:cs="Arial"/>
        </w:rPr>
        <w:t xml:space="preserve">services related) services shall remain the responsibility of the Gloucestershire NHS Procurement Shared Service (a service hosted by Gloucestershire Hospitals NHS Foundation Trust).  </w:t>
      </w:r>
      <w:r w:rsidR="00D4121E" w:rsidRPr="00EA7AEA">
        <w:rPr>
          <w:rFonts w:cs="Arial"/>
        </w:rPr>
        <w:t>G</w:t>
      </w:r>
      <w:r w:rsidRPr="00EA7AEA">
        <w:rPr>
          <w:rFonts w:cs="Arial"/>
        </w:rPr>
        <w:t>CCG procurement staff shall be responsible for monitoring the quality of the service provided by the Gloucestershire NHS Procurement Shared Service.</w:t>
      </w:r>
    </w:p>
    <w:p w:rsidR="009975F3" w:rsidRPr="00EA7AEA" w:rsidRDefault="009975F3" w:rsidP="000A3B62">
      <w:pPr>
        <w:autoSpaceDE w:val="0"/>
        <w:autoSpaceDN w:val="0"/>
        <w:adjustRightInd w:val="0"/>
        <w:jc w:val="both"/>
        <w:rPr>
          <w:rFonts w:cs="Arial"/>
        </w:rPr>
      </w:pPr>
    </w:p>
    <w:p w:rsidR="00412026" w:rsidRPr="00EA7AEA" w:rsidRDefault="00412026" w:rsidP="000A3B62">
      <w:pPr>
        <w:autoSpaceDE w:val="0"/>
        <w:autoSpaceDN w:val="0"/>
        <w:adjustRightInd w:val="0"/>
        <w:jc w:val="both"/>
        <w:rPr>
          <w:rFonts w:cs="Arial"/>
        </w:rPr>
      </w:pPr>
    </w:p>
    <w:p w:rsidR="004D2624" w:rsidRPr="00EA7AEA" w:rsidRDefault="004D2624" w:rsidP="00264B71">
      <w:pPr>
        <w:pStyle w:val="ListParagraph"/>
        <w:numPr>
          <w:ilvl w:val="0"/>
          <w:numId w:val="3"/>
        </w:numPr>
        <w:autoSpaceDE w:val="0"/>
        <w:autoSpaceDN w:val="0"/>
        <w:adjustRightInd w:val="0"/>
        <w:ind w:left="709" w:hanging="709"/>
        <w:jc w:val="both"/>
        <w:rPr>
          <w:rFonts w:cs="Arial"/>
          <w:u w:val="single"/>
        </w:rPr>
      </w:pPr>
      <w:r w:rsidRPr="00EA7AEA">
        <w:rPr>
          <w:rFonts w:cs="Arial"/>
          <w:u w:val="single"/>
        </w:rPr>
        <w:t>e-Tendering:</w:t>
      </w:r>
    </w:p>
    <w:p w:rsidR="004D2624" w:rsidRPr="00EA7AEA" w:rsidRDefault="004D2624" w:rsidP="004D2624">
      <w:pPr>
        <w:autoSpaceDE w:val="0"/>
        <w:autoSpaceDN w:val="0"/>
        <w:adjustRightInd w:val="0"/>
        <w:jc w:val="both"/>
        <w:rPr>
          <w:rFonts w:cs="Arial"/>
          <w:u w:val="single"/>
        </w:rPr>
      </w:pPr>
    </w:p>
    <w:p w:rsidR="000A3B62" w:rsidRPr="00EA7AEA" w:rsidRDefault="000A3B62" w:rsidP="000A3B62">
      <w:pPr>
        <w:autoSpaceDE w:val="0"/>
        <w:autoSpaceDN w:val="0"/>
        <w:adjustRightInd w:val="0"/>
        <w:jc w:val="both"/>
        <w:rPr>
          <w:rFonts w:cs="Arial"/>
        </w:rPr>
      </w:pPr>
      <w:r w:rsidRPr="00EA7AEA">
        <w:rPr>
          <w:rFonts w:cs="Arial"/>
        </w:rPr>
        <w:t xml:space="preserve">A semi-automated / electronic approach to competitive tendering is presently used by </w:t>
      </w:r>
      <w:r w:rsidR="00D4121E" w:rsidRPr="00EA7AEA">
        <w:rPr>
          <w:rFonts w:cs="Arial"/>
        </w:rPr>
        <w:t>G</w:t>
      </w:r>
      <w:r w:rsidRPr="00EA7AEA">
        <w:rPr>
          <w:rFonts w:cs="Arial"/>
        </w:rPr>
        <w:t>CCG procurement staffs when conducting competitive tendering processes.  In-line with E</w:t>
      </w:r>
      <w:r w:rsidR="00E31BF7" w:rsidRPr="00EA7AEA">
        <w:rPr>
          <w:rFonts w:cs="Arial"/>
        </w:rPr>
        <w:t xml:space="preserve">uropean </w:t>
      </w:r>
      <w:r w:rsidRPr="00EA7AEA">
        <w:rPr>
          <w:rFonts w:cs="Arial"/>
        </w:rPr>
        <w:t>U</w:t>
      </w:r>
      <w:r w:rsidR="00E31BF7" w:rsidRPr="00EA7AEA">
        <w:rPr>
          <w:rFonts w:cs="Arial"/>
        </w:rPr>
        <w:t>nion</w:t>
      </w:r>
      <w:r w:rsidRPr="00EA7AEA">
        <w:rPr>
          <w:rFonts w:cs="Arial"/>
        </w:rPr>
        <w:t xml:space="preserve"> guidance (December 2011), the </w:t>
      </w:r>
      <w:r w:rsidR="00D4121E" w:rsidRPr="00EA7AEA">
        <w:rPr>
          <w:rFonts w:cs="Arial"/>
        </w:rPr>
        <w:t>G</w:t>
      </w:r>
      <w:r w:rsidRPr="00EA7AEA">
        <w:rPr>
          <w:rFonts w:cs="Arial"/>
        </w:rPr>
        <w:t xml:space="preserve">CCG is required to conduct all procurement processes electronically no later than 2017.  The </w:t>
      </w:r>
      <w:r w:rsidR="00D4121E" w:rsidRPr="00EA7AEA">
        <w:rPr>
          <w:rFonts w:cs="Arial"/>
        </w:rPr>
        <w:t>G</w:t>
      </w:r>
      <w:r w:rsidRPr="00EA7AEA">
        <w:rPr>
          <w:rFonts w:cs="Arial"/>
        </w:rPr>
        <w:t xml:space="preserve">CCG will investigate the availability of </w:t>
      </w:r>
      <w:r w:rsidR="009975F3" w:rsidRPr="00EA7AEA">
        <w:rPr>
          <w:rFonts w:cs="Arial"/>
        </w:rPr>
        <w:t xml:space="preserve">suitable </w:t>
      </w:r>
      <w:r w:rsidRPr="00EA7AEA">
        <w:rPr>
          <w:rFonts w:cs="Arial"/>
        </w:rPr>
        <w:t>electronic e-tendering systems and ensure that a system is in place no later than the aforementioned date.</w:t>
      </w:r>
    </w:p>
    <w:p w:rsidR="004D2624" w:rsidRPr="00EA7AEA" w:rsidRDefault="004D2624" w:rsidP="004D2624">
      <w:pPr>
        <w:autoSpaceDE w:val="0"/>
        <w:autoSpaceDN w:val="0"/>
        <w:adjustRightInd w:val="0"/>
        <w:jc w:val="both"/>
        <w:rPr>
          <w:rFonts w:cs="Arial"/>
          <w:u w:val="single"/>
        </w:rPr>
      </w:pPr>
    </w:p>
    <w:p w:rsidR="004D2624" w:rsidRPr="00EA7AEA" w:rsidRDefault="004D2624" w:rsidP="00264B71">
      <w:pPr>
        <w:pStyle w:val="ListParagraph"/>
        <w:numPr>
          <w:ilvl w:val="0"/>
          <w:numId w:val="3"/>
        </w:numPr>
        <w:autoSpaceDE w:val="0"/>
        <w:autoSpaceDN w:val="0"/>
        <w:adjustRightInd w:val="0"/>
        <w:ind w:left="709" w:hanging="709"/>
        <w:jc w:val="both"/>
        <w:rPr>
          <w:rFonts w:cs="Arial"/>
          <w:u w:val="single"/>
        </w:rPr>
      </w:pPr>
      <w:r w:rsidRPr="00EA7AEA">
        <w:rPr>
          <w:rFonts w:cs="Arial"/>
          <w:u w:val="single"/>
        </w:rPr>
        <w:t>Collaborative Procurement:</w:t>
      </w:r>
    </w:p>
    <w:p w:rsidR="004D2624" w:rsidRPr="00EA7AEA" w:rsidRDefault="004D2624" w:rsidP="004D2624">
      <w:pPr>
        <w:autoSpaceDE w:val="0"/>
        <w:autoSpaceDN w:val="0"/>
        <w:adjustRightInd w:val="0"/>
        <w:jc w:val="both"/>
        <w:rPr>
          <w:rFonts w:cs="Arial"/>
        </w:rPr>
      </w:pPr>
    </w:p>
    <w:p w:rsidR="00412026" w:rsidRPr="00EA7AEA" w:rsidRDefault="00412026" w:rsidP="004D2624">
      <w:pPr>
        <w:autoSpaceDE w:val="0"/>
        <w:autoSpaceDN w:val="0"/>
        <w:adjustRightInd w:val="0"/>
        <w:jc w:val="both"/>
        <w:rPr>
          <w:rFonts w:cs="Arial"/>
        </w:rPr>
      </w:pPr>
    </w:p>
    <w:p w:rsidR="000A3B62" w:rsidRPr="00EA7AEA" w:rsidRDefault="00D4121E" w:rsidP="000A3B62">
      <w:pPr>
        <w:autoSpaceDE w:val="0"/>
        <w:autoSpaceDN w:val="0"/>
        <w:adjustRightInd w:val="0"/>
        <w:jc w:val="both"/>
        <w:rPr>
          <w:rFonts w:cs="Arial"/>
        </w:rPr>
      </w:pPr>
      <w:r w:rsidRPr="00EA7AEA">
        <w:rPr>
          <w:rFonts w:cs="Arial"/>
        </w:rPr>
        <w:t>G</w:t>
      </w:r>
      <w:r w:rsidR="000A3B62" w:rsidRPr="00EA7AEA">
        <w:rPr>
          <w:rFonts w:cs="Arial"/>
        </w:rPr>
        <w:t xml:space="preserve">CCG Procurement staffs will design procurement work plans in accordance with year-on-year </w:t>
      </w:r>
      <w:r w:rsidRPr="00EA7AEA">
        <w:rPr>
          <w:rFonts w:cs="Arial"/>
        </w:rPr>
        <w:t>G</w:t>
      </w:r>
      <w:r w:rsidR="000A3B62" w:rsidRPr="00EA7AEA">
        <w:rPr>
          <w:rFonts w:cs="Arial"/>
        </w:rPr>
        <w:t xml:space="preserve">CCG Board commissioning intentions and any ad hoc in-year requirements as may arise from time-to-time.  While it is envisaged that most procurement will be conducted in-house, </w:t>
      </w:r>
      <w:r w:rsidRPr="00EA7AEA">
        <w:rPr>
          <w:rFonts w:cs="Arial"/>
        </w:rPr>
        <w:t>G</w:t>
      </w:r>
      <w:r w:rsidR="000A3B62" w:rsidRPr="00EA7AEA">
        <w:rPr>
          <w:rFonts w:cs="Arial"/>
        </w:rPr>
        <w:t>CCG procurement staffs will actively engage with Central Southern Commissioning Support Unit (CSCSU) staff, other C</w:t>
      </w:r>
      <w:r w:rsidRPr="00EA7AEA">
        <w:rPr>
          <w:rFonts w:cs="Arial"/>
        </w:rPr>
        <w:t xml:space="preserve">linical </w:t>
      </w:r>
      <w:r w:rsidR="000A3B62" w:rsidRPr="00EA7AEA">
        <w:rPr>
          <w:rFonts w:cs="Arial"/>
        </w:rPr>
        <w:t>C</w:t>
      </w:r>
      <w:r w:rsidRPr="00EA7AEA">
        <w:rPr>
          <w:rFonts w:cs="Arial"/>
        </w:rPr>
        <w:t xml:space="preserve">ommissioning </w:t>
      </w:r>
      <w:r w:rsidR="000A3B62" w:rsidRPr="00EA7AEA">
        <w:rPr>
          <w:rFonts w:cs="Arial"/>
        </w:rPr>
        <w:t>G</w:t>
      </w:r>
      <w:r w:rsidRPr="00EA7AEA">
        <w:rPr>
          <w:rFonts w:cs="Arial"/>
        </w:rPr>
        <w:t>roup</w:t>
      </w:r>
      <w:r w:rsidR="000A3B62" w:rsidRPr="00EA7AEA">
        <w:rPr>
          <w:rFonts w:cs="Arial"/>
        </w:rPr>
        <w:t xml:space="preserve"> procurement staffs or nationally designated procurement teams to deliver complex / cross-boundary procurements where required.</w:t>
      </w:r>
    </w:p>
    <w:p w:rsidR="004D2624" w:rsidRPr="00EA7AEA" w:rsidRDefault="004D2624" w:rsidP="004D2624">
      <w:pPr>
        <w:autoSpaceDE w:val="0"/>
        <w:autoSpaceDN w:val="0"/>
        <w:adjustRightInd w:val="0"/>
        <w:jc w:val="both"/>
        <w:rPr>
          <w:rFonts w:cs="Arial"/>
        </w:rPr>
      </w:pPr>
    </w:p>
    <w:p w:rsidR="00000C92" w:rsidRPr="00EA7AEA" w:rsidRDefault="00000C92" w:rsidP="004D2624">
      <w:pPr>
        <w:autoSpaceDE w:val="0"/>
        <w:autoSpaceDN w:val="0"/>
        <w:adjustRightInd w:val="0"/>
        <w:jc w:val="both"/>
        <w:rPr>
          <w:rFonts w:cs="Arial"/>
        </w:rPr>
      </w:pPr>
    </w:p>
    <w:p w:rsidR="004D2624" w:rsidRPr="00EA7AEA" w:rsidRDefault="004D2624" w:rsidP="00264B71">
      <w:pPr>
        <w:pStyle w:val="ListParagraph"/>
        <w:numPr>
          <w:ilvl w:val="0"/>
          <w:numId w:val="3"/>
        </w:numPr>
        <w:autoSpaceDE w:val="0"/>
        <w:autoSpaceDN w:val="0"/>
        <w:adjustRightInd w:val="0"/>
        <w:ind w:left="709" w:hanging="709"/>
        <w:jc w:val="both"/>
        <w:rPr>
          <w:rFonts w:cs="Arial"/>
          <w:u w:val="single"/>
        </w:rPr>
      </w:pPr>
      <w:r w:rsidRPr="00EA7AEA">
        <w:rPr>
          <w:rFonts w:cs="Arial"/>
          <w:u w:val="single"/>
        </w:rPr>
        <w:t>Contract Duration:</w:t>
      </w:r>
    </w:p>
    <w:p w:rsidR="004D2624" w:rsidRPr="00EA7AEA" w:rsidRDefault="004D2624" w:rsidP="004D2624">
      <w:pPr>
        <w:autoSpaceDE w:val="0"/>
        <w:autoSpaceDN w:val="0"/>
        <w:adjustRightInd w:val="0"/>
        <w:jc w:val="both"/>
        <w:rPr>
          <w:rFonts w:cs="Arial"/>
        </w:rPr>
      </w:pPr>
    </w:p>
    <w:p w:rsidR="00EA095A" w:rsidRPr="00EA7AEA" w:rsidRDefault="00EA095A" w:rsidP="004D2624">
      <w:pPr>
        <w:autoSpaceDE w:val="0"/>
        <w:autoSpaceDN w:val="0"/>
        <w:adjustRightInd w:val="0"/>
        <w:jc w:val="both"/>
        <w:rPr>
          <w:rFonts w:cs="Arial"/>
        </w:rPr>
      </w:pPr>
      <w:r w:rsidRPr="00EA7AEA">
        <w:rPr>
          <w:rFonts w:cs="Arial"/>
        </w:rPr>
        <w:t>Whilst the 3-year NHS Standard Contract will be applied for the majority of health</w:t>
      </w:r>
      <w:r w:rsidR="00E46443" w:rsidRPr="00EA7AEA">
        <w:rPr>
          <w:rFonts w:cs="Arial"/>
        </w:rPr>
        <w:t xml:space="preserve"> </w:t>
      </w:r>
      <w:r w:rsidRPr="00EA7AEA">
        <w:rPr>
          <w:rFonts w:cs="Arial"/>
        </w:rPr>
        <w:t xml:space="preserve">care services procurements, the </w:t>
      </w:r>
      <w:r w:rsidR="00D4121E" w:rsidRPr="00EA7AEA">
        <w:rPr>
          <w:rFonts w:cs="Arial"/>
        </w:rPr>
        <w:t>G</w:t>
      </w:r>
      <w:r w:rsidRPr="00EA7AEA">
        <w:rPr>
          <w:rFonts w:cs="Arial"/>
        </w:rPr>
        <w:t xml:space="preserve">CCG will take account of the following factors </w:t>
      </w:r>
      <w:r w:rsidR="00C12A95" w:rsidRPr="00EA7AEA">
        <w:rPr>
          <w:rFonts w:cs="Arial"/>
        </w:rPr>
        <w:t xml:space="preserve">before finally </w:t>
      </w:r>
      <w:r w:rsidRPr="00EA7AEA">
        <w:rPr>
          <w:rFonts w:cs="Arial"/>
        </w:rPr>
        <w:t>determining contract duration</w:t>
      </w:r>
      <w:r w:rsidR="00C12A95" w:rsidRPr="00EA7AEA">
        <w:rPr>
          <w:rFonts w:cs="Arial"/>
        </w:rPr>
        <w:t xml:space="preserve"> (and prior to procurement advertisement)</w:t>
      </w:r>
      <w:r w:rsidRPr="00EA7AEA">
        <w:rPr>
          <w:rFonts w:cs="Arial"/>
        </w:rPr>
        <w:t>:</w:t>
      </w:r>
    </w:p>
    <w:p w:rsidR="00EA095A" w:rsidRPr="00EA7AEA" w:rsidRDefault="00EA095A" w:rsidP="004D2624">
      <w:pPr>
        <w:autoSpaceDE w:val="0"/>
        <w:autoSpaceDN w:val="0"/>
        <w:adjustRightInd w:val="0"/>
        <w:jc w:val="both"/>
        <w:rPr>
          <w:rFonts w:cs="Arial"/>
        </w:rPr>
      </w:pPr>
    </w:p>
    <w:p w:rsidR="004D2624" w:rsidRPr="00EA7AEA" w:rsidRDefault="003C2841" w:rsidP="00264B71">
      <w:pPr>
        <w:pStyle w:val="ListParagraph"/>
        <w:numPr>
          <w:ilvl w:val="0"/>
          <w:numId w:val="55"/>
        </w:numPr>
        <w:autoSpaceDE w:val="0"/>
        <w:autoSpaceDN w:val="0"/>
        <w:adjustRightInd w:val="0"/>
        <w:jc w:val="both"/>
        <w:rPr>
          <w:rFonts w:cs="Arial"/>
        </w:rPr>
      </w:pPr>
      <w:r w:rsidRPr="00EA7AEA">
        <w:rPr>
          <w:rFonts w:cs="Arial"/>
        </w:rPr>
        <w:t>Overall c</w:t>
      </w:r>
      <w:r w:rsidR="00EA095A" w:rsidRPr="00EA7AEA">
        <w:rPr>
          <w:rFonts w:cs="Arial"/>
        </w:rPr>
        <w:t>ontract value</w:t>
      </w:r>
    </w:p>
    <w:p w:rsidR="00EA095A" w:rsidRPr="00EA7AEA" w:rsidRDefault="003C2841" w:rsidP="00264B71">
      <w:pPr>
        <w:pStyle w:val="ListParagraph"/>
        <w:numPr>
          <w:ilvl w:val="0"/>
          <w:numId w:val="55"/>
        </w:numPr>
        <w:autoSpaceDE w:val="0"/>
        <w:autoSpaceDN w:val="0"/>
        <w:adjustRightInd w:val="0"/>
        <w:jc w:val="both"/>
        <w:rPr>
          <w:rFonts w:cs="Arial"/>
        </w:rPr>
      </w:pPr>
      <w:r w:rsidRPr="00EA7AEA">
        <w:rPr>
          <w:rFonts w:cs="Arial"/>
        </w:rPr>
        <w:t>C</w:t>
      </w:r>
      <w:r w:rsidR="00EA095A" w:rsidRPr="00EA7AEA">
        <w:rPr>
          <w:rFonts w:cs="Arial"/>
        </w:rPr>
        <w:t>omplexity</w:t>
      </w:r>
      <w:r w:rsidRPr="00EA7AEA">
        <w:rPr>
          <w:rFonts w:cs="Arial"/>
        </w:rPr>
        <w:t xml:space="preserve"> of the procurement process </w:t>
      </w:r>
      <w:r w:rsidR="00C12A95" w:rsidRPr="00EA7AEA">
        <w:rPr>
          <w:rFonts w:cs="Arial"/>
        </w:rPr>
        <w:t xml:space="preserve">(i.e. </w:t>
      </w:r>
      <w:r w:rsidR="007A7DAD" w:rsidRPr="00EA7AEA">
        <w:rPr>
          <w:rFonts w:cs="Arial"/>
        </w:rPr>
        <w:t>nature of health</w:t>
      </w:r>
      <w:r w:rsidR="00E46443" w:rsidRPr="00EA7AEA">
        <w:rPr>
          <w:rFonts w:cs="Arial"/>
        </w:rPr>
        <w:t xml:space="preserve"> </w:t>
      </w:r>
      <w:r w:rsidR="007A7DAD" w:rsidRPr="00EA7AEA">
        <w:rPr>
          <w:rFonts w:cs="Arial"/>
        </w:rPr>
        <w:t>care service to be commissioned and its interaction with other services and service providers</w:t>
      </w:r>
      <w:r w:rsidR="00C12A95" w:rsidRPr="00EA7AEA">
        <w:rPr>
          <w:rFonts w:cs="Arial"/>
        </w:rPr>
        <w:t>)</w:t>
      </w:r>
    </w:p>
    <w:p w:rsidR="00EA095A" w:rsidRPr="00EA7AEA" w:rsidRDefault="00EA095A" w:rsidP="00264B71">
      <w:pPr>
        <w:pStyle w:val="ListParagraph"/>
        <w:numPr>
          <w:ilvl w:val="0"/>
          <w:numId w:val="55"/>
        </w:numPr>
        <w:autoSpaceDE w:val="0"/>
        <w:autoSpaceDN w:val="0"/>
        <w:adjustRightInd w:val="0"/>
        <w:jc w:val="both"/>
        <w:rPr>
          <w:rFonts w:cs="Arial"/>
        </w:rPr>
      </w:pPr>
      <w:r w:rsidRPr="00EA7AEA">
        <w:rPr>
          <w:rFonts w:cs="Arial"/>
        </w:rPr>
        <w:t>Number of potential providers in the market place.</w:t>
      </w:r>
    </w:p>
    <w:p w:rsidR="00AD04DE" w:rsidRPr="00EA7AEA" w:rsidRDefault="00AD04DE" w:rsidP="004D2624">
      <w:pPr>
        <w:autoSpaceDE w:val="0"/>
        <w:autoSpaceDN w:val="0"/>
        <w:adjustRightInd w:val="0"/>
        <w:jc w:val="both"/>
        <w:rPr>
          <w:rFonts w:cs="Arial"/>
        </w:rPr>
      </w:pPr>
    </w:p>
    <w:p w:rsidR="00E31BF7" w:rsidRPr="00EA7AEA" w:rsidRDefault="00E31BF7" w:rsidP="004D2624">
      <w:pPr>
        <w:autoSpaceDE w:val="0"/>
        <w:autoSpaceDN w:val="0"/>
        <w:adjustRightInd w:val="0"/>
        <w:jc w:val="both"/>
        <w:rPr>
          <w:rFonts w:cs="Arial"/>
        </w:rPr>
      </w:pPr>
      <w:r w:rsidRPr="00EA7AEA">
        <w:rPr>
          <w:rFonts w:cs="Arial"/>
        </w:rPr>
        <w:t>Contract durations in excess of 3-years may be advertised, procured and awarded subject to GCCG Board approval.</w:t>
      </w:r>
    </w:p>
    <w:p w:rsidR="00C12A95" w:rsidRPr="00EA7AEA" w:rsidRDefault="00C12A95" w:rsidP="004D2624">
      <w:pPr>
        <w:autoSpaceDE w:val="0"/>
        <w:autoSpaceDN w:val="0"/>
        <w:adjustRightInd w:val="0"/>
        <w:jc w:val="both"/>
        <w:rPr>
          <w:rFonts w:cs="Arial"/>
        </w:rPr>
      </w:pPr>
    </w:p>
    <w:p w:rsidR="00DA6591" w:rsidRPr="00EA7AEA" w:rsidRDefault="004D2624" w:rsidP="00264B71">
      <w:pPr>
        <w:pStyle w:val="ListParagraph"/>
        <w:numPr>
          <w:ilvl w:val="0"/>
          <w:numId w:val="3"/>
        </w:numPr>
        <w:autoSpaceDE w:val="0"/>
        <w:autoSpaceDN w:val="0"/>
        <w:adjustRightInd w:val="0"/>
        <w:ind w:left="709" w:hanging="709"/>
        <w:jc w:val="both"/>
        <w:rPr>
          <w:rFonts w:cs="Arial"/>
          <w:u w:val="single"/>
        </w:rPr>
      </w:pPr>
      <w:r w:rsidRPr="00EA7AEA">
        <w:rPr>
          <w:rFonts w:cs="Arial"/>
          <w:u w:val="single"/>
        </w:rPr>
        <w:t>Contract Management:</w:t>
      </w:r>
    </w:p>
    <w:p w:rsidR="004D2624" w:rsidRPr="00EA7AEA" w:rsidRDefault="004D2624" w:rsidP="004D2624">
      <w:pPr>
        <w:autoSpaceDE w:val="0"/>
        <w:autoSpaceDN w:val="0"/>
        <w:adjustRightInd w:val="0"/>
        <w:jc w:val="both"/>
        <w:rPr>
          <w:rFonts w:cs="Arial"/>
        </w:rPr>
      </w:pPr>
    </w:p>
    <w:p w:rsidR="000A3B62" w:rsidRPr="00EA7AEA" w:rsidRDefault="000A3B62" w:rsidP="000A3B62">
      <w:pPr>
        <w:autoSpaceDE w:val="0"/>
        <w:autoSpaceDN w:val="0"/>
        <w:adjustRightInd w:val="0"/>
        <w:jc w:val="both"/>
        <w:rPr>
          <w:rFonts w:cs="Arial"/>
        </w:rPr>
      </w:pPr>
      <w:r w:rsidRPr="00EA7AEA">
        <w:rPr>
          <w:rFonts w:cs="Arial"/>
        </w:rPr>
        <w:t xml:space="preserve">CSCSU Contract staff will work with </w:t>
      </w:r>
      <w:r w:rsidR="00D4121E" w:rsidRPr="00EA7AEA">
        <w:rPr>
          <w:rFonts w:cs="Arial"/>
        </w:rPr>
        <w:t>G</w:t>
      </w:r>
      <w:r w:rsidRPr="00EA7AEA">
        <w:rPr>
          <w:rFonts w:cs="Arial"/>
        </w:rPr>
        <w:t xml:space="preserve">CCG procurement staff from project inception (or a pre-determined key stage) to ensure that robust contracts are developed, implemented and monitored on an on-going basis.  </w:t>
      </w:r>
    </w:p>
    <w:p w:rsidR="000A3B62" w:rsidRPr="00EA7AEA" w:rsidRDefault="000A3B62" w:rsidP="000A3B62">
      <w:pPr>
        <w:autoSpaceDE w:val="0"/>
        <w:autoSpaceDN w:val="0"/>
        <w:adjustRightInd w:val="0"/>
        <w:jc w:val="both"/>
        <w:rPr>
          <w:rFonts w:cs="Arial"/>
        </w:rPr>
      </w:pPr>
    </w:p>
    <w:p w:rsidR="000A3B62" w:rsidRPr="00EA7AEA" w:rsidRDefault="000A3B62" w:rsidP="000A3B62">
      <w:pPr>
        <w:autoSpaceDE w:val="0"/>
        <w:autoSpaceDN w:val="0"/>
        <w:adjustRightInd w:val="0"/>
        <w:jc w:val="both"/>
        <w:rPr>
          <w:rFonts w:cs="Arial"/>
        </w:rPr>
      </w:pPr>
      <w:r w:rsidRPr="00EA7AEA">
        <w:rPr>
          <w:rFonts w:cs="Arial"/>
        </w:rPr>
        <w:lastRenderedPageBreak/>
        <w:t xml:space="preserve">The </w:t>
      </w:r>
      <w:r w:rsidR="00D4121E" w:rsidRPr="00EA7AEA">
        <w:rPr>
          <w:rFonts w:cs="Arial"/>
        </w:rPr>
        <w:t>G</w:t>
      </w:r>
      <w:r w:rsidRPr="00EA7AEA">
        <w:rPr>
          <w:rFonts w:cs="Arial"/>
        </w:rPr>
        <w:t xml:space="preserve">CCG’s Commissioning Implementation Manager will participate in high value / complex procurement projects to ensure that smooth transition from procurement contract award to service delivery commencement is managed in a proactive and timely manner ensuring key deadlines are achieved. </w:t>
      </w:r>
    </w:p>
    <w:p w:rsidR="00F307E3" w:rsidRPr="00EA7AEA" w:rsidRDefault="00F307E3" w:rsidP="00264B71">
      <w:pPr>
        <w:pStyle w:val="ListParagraph"/>
        <w:numPr>
          <w:ilvl w:val="0"/>
          <w:numId w:val="3"/>
        </w:numPr>
        <w:autoSpaceDE w:val="0"/>
        <w:autoSpaceDN w:val="0"/>
        <w:adjustRightInd w:val="0"/>
        <w:ind w:left="709" w:hanging="709"/>
        <w:jc w:val="both"/>
        <w:rPr>
          <w:rFonts w:cs="Arial"/>
          <w:u w:val="single"/>
        </w:rPr>
      </w:pPr>
      <w:r w:rsidRPr="00EA7AEA">
        <w:rPr>
          <w:rFonts w:cs="Arial"/>
          <w:u w:val="single"/>
        </w:rPr>
        <w:t>Procurement Guide and Procedures</w:t>
      </w:r>
      <w:r w:rsidR="007115F7" w:rsidRPr="00EA7AEA">
        <w:rPr>
          <w:rFonts w:cs="Arial"/>
          <w:u w:val="single"/>
        </w:rPr>
        <w:t>:</w:t>
      </w:r>
      <w:r w:rsidRPr="00EA7AEA">
        <w:rPr>
          <w:rFonts w:cs="Arial"/>
          <w:u w:val="single"/>
        </w:rPr>
        <w:t xml:space="preserve"> </w:t>
      </w:r>
    </w:p>
    <w:p w:rsidR="00F307E3" w:rsidRPr="00EA7AEA" w:rsidRDefault="00F307E3" w:rsidP="00F307E3">
      <w:pPr>
        <w:autoSpaceDE w:val="0"/>
        <w:autoSpaceDN w:val="0"/>
        <w:adjustRightInd w:val="0"/>
        <w:jc w:val="both"/>
        <w:rPr>
          <w:rFonts w:cs="Arial"/>
          <w:b/>
        </w:rPr>
      </w:pPr>
    </w:p>
    <w:p w:rsidR="00F307E3" w:rsidRPr="00EA7AEA" w:rsidRDefault="00F307E3" w:rsidP="00F307E3">
      <w:pPr>
        <w:autoSpaceDE w:val="0"/>
        <w:autoSpaceDN w:val="0"/>
        <w:adjustRightInd w:val="0"/>
        <w:jc w:val="both"/>
        <w:rPr>
          <w:rFonts w:cs="Arial"/>
        </w:rPr>
      </w:pPr>
      <w:r w:rsidRPr="00EA7AEA">
        <w:rPr>
          <w:rFonts w:cs="Arial"/>
        </w:rPr>
        <w:t xml:space="preserve">To develop the framework provided by this strategy document, we will produce a comprehensive written procurement guide for use by our staff engaged in procurement related activity. </w:t>
      </w:r>
    </w:p>
    <w:p w:rsidR="00F307E3" w:rsidRPr="00EA7AEA" w:rsidRDefault="00F307E3" w:rsidP="00F307E3">
      <w:pPr>
        <w:autoSpaceDE w:val="0"/>
        <w:autoSpaceDN w:val="0"/>
        <w:adjustRightInd w:val="0"/>
        <w:jc w:val="both"/>
        <w:rPr>
          <w:rFonts w:cs="Arial"/>
        </w:rPr>
      </w:pPr>
    </w:p>
    <w:p w:rsidR="00F307E3" w:rsidRPr="00EA7AEA" w:rsidRDefault="00F307E3" w:rsidP="00F307E3">
      <w:pPr>
        <w:autoSpaceDE w:val="0"/>
        <w:autoSpaceDN w:val="0"/>
        <w:adjustRightInd w:val="0"/>
        <w:jc w:val="both"/>
        <w:rPr>
          <w:rFonts w:cs="Arial"/>
        </w:rPr>
      </w:pPr>
      <w:r w:rsidRPr="00EA7AEA">
        <w:rPr>
          <w:rFonts w:cs="Arial"/>
        </w:rPr>
        <w:t xml:space="preserve">The guide will provide background, guidance, information, lessons learned log and practical help for all GCCG staff when undertaking or participating in procurement activity. It is intended that this resource will be available through our intranet site, and will be regularly reviewed and updated. We will introduce and maintain standardised procurement documents to be used across the organisation. </w:t>
      </w:r>
    </w:p>
    <w:p w:rsidR="00F307E3" w:rsidRPr="00EA7AEA" w:rsidRDefault="00F307E3" w:rsidP="00F307E3">
      <w:pPr>
        <w:autoSpaceDE w:val="0"/>
        <w:autoSpaceDN w:val="0"/>
        <w:adjustRightInd w:val="0"/>
        <w:jc w:val="both"/>
        <w:rPr>
          <w:rFonts w:cs="Arial"/>
        </w:rPr>
      </w:pPr>
    </w:p>
    <w:p w:rsidR="00F307E3" w:rsidRPr="00EA7AEA" w:rsidRDefault="00F307E3" w:rsidP="00F307E3">
      <w:pPr>
        <w:autoSpaceDE w:val="0"/>
        <w:autoSpaceDN w:val="0"/>
        <w:adjustRightInd w:val="0"/>
        <w:jc w:val="both"/>
        <w:rPr>
          <w:rFonts w:cs="Arial"/>
        </w:rPr>
      </w:pPr>
    </w:p>
    <w:p w:rsidR="00D16562" w:rsidRPr="00EA7AEA" w:rsidRDefault="00D16562" w:rsidP="00264B71">
      <w:pPr>
        <w:pStyle w:val="ListParagraph"/>
        <w:numPr>
          <w:ilvl w:val="0"/>
          <w:numId w:val="3"/>
        </w:numPr>
        <w:autoSpaceDE w:val="0"/>
        <w:autoSpaceDN w:val="0"/>
        <w:adjustRightInd w:val="0"/>
        <w:ind w:left="709" w:hanging="709"/>
        <w:jc w:val="both"/>
        <w:rPr>
          <w:rFonts w:cs="Arial"/>
          <w:u w:val="single"/>
        </w:rPr>
      </w:pPr>
      <w:r w:rsidRPr="00EA7AEA">
        <w:rPr>
          <w:rFonts w:cs="Arial"/>
          <w:u w:val="single"/>
        </w:rPr>
        <w:t>Social Value Legislation:</w:t>
      </w:r>
    </w:p>
    <w:p w:rsidR="00D16562" w:rsidRPr="00EA7AEA" w:rsidRDefault="00D16562" w:rsidP="00D16562">
      <w:pPr>
        <w:autoSpaceDE w:val="0"/>
        <w:autoSpaceDN w:val="0"/>
        <w:adjustRightInd w:val="0"/>
        <w:jc w:val="both"/>
        <w:rPr>
          <w:rFonts w:cs="Arial"/>
        </w:rPr>
      </w:pPr>
    </w:p>
    <w:p w:rsidR="000A3B62" w:rsidRPr="00EA7AEA" w:rsidRDefault="000A3B62" w:rsidP="000A3B62">
      <w:pPr>
        <w:autoSpaceDE w:val="0"/>
        <w:autoSpaceDN w:val="0"/>
        <w:adjustRightInd w:val="0"/>
        <w:jc w:val="both"/>
        <w:rPr>
          <w:rFonts w:cs="Arial"/>
          <w:bCs/>
        </w:rPr>
      </w:pPr>
      <w:r w:rsidRPr="00EA7AEA">
        <w:rPr>
          <w:rFonts w:cs="Arial"/>
          <w:bCs/>
        </w:rPr>
        <w:t>Under recently enacted Social Value legislation, Public Sector organisations are required to consider how the service they commission and procure might improve the economic, social and environmental well-being of the area that they serve.</w:t>
      </w:r>
    </w:p>
    <w:p w:rsidR="000A3B62" w:rsidRPr="00EA7AEA" w:rsidRDefault="000A3B62" w:rsidP="000A3B62">
      <w:pPr>
        <w:autoSpaceDE w:val="0"/>
        <w:autoSpaceDN w:val="0"/>
        <w:adjustRightInd w:val="0"/>
        <w:jc w:val="both"/>
        <w:rPr>
          <w:rFonts w:cs="Arial"/>
          <w:bCs/>
        </w:rPr>
      </w:pPr>
    </w:p>
    <w:p w:rsidR="000A3B62" w:rsidRPr="00EA7AEA" w:rsidRDefault="000A3B62" w:rsidP="000A3B62">
      <w:pPr>
        <w:autoSpaceDE w:val="0"/>
        <w:autoSpaceDN w:val="0"/>
        <w:adjustRightInd w:val="0"/>
        <w:jc w:val="both"/>
        <w:rPr>
          <w:rFonts w:cs="Arial"/>
          <w:bCs/>
        </w:rPr>
      </w:pPr>
      <w:r w:rsidRPr="00EA7AEA">
        <w:rPr>
          <w:rFonts w:cs="Arial"/>
          <w:bCs/>
        </w:rPr>
        <w:t>Social Value is a broad term and can be interpreted in a number of ways but could mean; a local person for a local job, an NHS Trust commissioning local patient groups (at cost) to run consultation events or a public body contracting with a private firm who employs local / long-term unemployed to service its contract requirements.</w:t>
      </w:r>
    </w:p>
    <w:p w:rsidR="000A3B62" w:rsidRPr="00EA7AEA" w:rsidRDefault="000A3B62" w:rsidP="000A3B62">
      <w:pPr>
        <w:autoSpaceDE w:val="0"/>
        <w:autoSpaceDN w:val="0"/>
        <w:adjustRightInd w:val="0"/>
        <w:jc w:val="both"/>
        <w:rPr>
          <w:rFonts w:cs="Arial"/>
          <w:bCs/>
        </w:rPr>
      </w:pPr>
    </w:p>
    <w:p w:rsidR="000A3B62" w:rsidRPr="00EA7AEA" w:rsidRDefault="000A3B62" w:rsidP="000A3B62">
      <w:pPr>
        <w:autoSpaceDE w:val="0"/>
        <w:autoSpaceDN w:val="0"/>
        <w:adjustRightInd w:val="0"/>
        <w:jc w:val="both"/>
        <w:rPr>
          <w:rFonts w:cs="Arial"/>
          <w:bCs/>
        </w:rPr>
      </w:pPr>
      <w:r w:rsidRPr="00EA7AEA">
        <w:rPr>
          <w:rFonts w:cs="Arial"/>
          <w:bCs/>
        </w:rPr>
        <w:t xml:space="preserve">The </w:t>
      </w:r>
      <w:r w:rsidR="00D4121E" w:rsidRPr="00EA7AEA">
        <w:rPr>
          <w:rFonts w:cs="Arial"/>
          <w:bCs/>
        </w:rPr>
        <w:t>G</w:t>
      </w:r>
      <w:r w:rsidRPr="00EA7AEA">
        <w:rPr>
          <w:rFonts w:cs="Arial"/>
          <w:bCs/>
        </w:rPr>
        <w:t xml:space="preserve">CCG will consider the Social Value implications of all prospective procurement processes and incorporate its responsibilities under the Act in key procurement documentation.  The </w:t>
      </w:r>
      <w:r w:rsidR="00D4121E" w:rsidRPr="00EA7AEA">
        <w:rPr>
          <w:rFonts w:cs="Arial"/>
          <w:bCs/>
        </w:rPr>
        <w:t>G</w:t>
      </w:r>
      <w:r w:rsidRPr="00EA7AEA">
        <w:rPr>
          <w:rFonts w:cs="Arial"/>
          <w:bCs/>
        </w:rPr>
        <w:t>CCG will take into account economic, social and environmental value, not just price, when commissioning health care services.  This will involve requesting relevant policies or statement at the pre-qualification stage of the procurement process and seeking more specific information at ITT stage where it can be measured and linked to the performance of the contact.</w:t>
      </w:r>
    </w:p>
    <w:p w:rsidR="00D16562" w:rsidRPr="00EA7AEA" w:rsidRDefault="00D16562" w:rsidP="00D16562">
      <w:pPr>
        <w:autoSpaceDE w:val="0"/>
        <w:autoSpaceDN w:val="0"/>
        <w:adjustRightInd w:val="0"/>
        <w:jc w:val="both"/>
        <w:rPr>
          <w:rFonts w:cs="Arial"/>
        </w:rPr>
      </w:pPr>
    </w:p>
    <w:p w:rsidR="00AD04DE" w:rsidRPr="00EA7AEA" w:rsidRDefault="00AD04DE" w:rsidP="00D16562">
      <w:pPr>
        <w:autoSpaceDE w:val="0"/>
        <w:autoSpaceDN w:val="0"/>
        <w:adjustRightInd w:val="0"/>
        <w:jc w:val="both"/>
        <w:rPr>
          <w:rFonts w:cs="Arial"/>
        </w:rPr>
      </w:pPr>
    </w:p>
    <w:p w:rsidR="00D16562" w:rsidRPr="00EA7AEA" w:rsidRDefault="00D16562" w:rsidP="00264B71">
      <w:pPr>
        <w:pStyle w:val="ListParagraph"/>
        <w:numPr>
          <w:ilvl w:val="0"/>
          <w:numId w:val="3"/>
        </w:numPr>
        <w:autoSpaceDE w:val="0"/>
        <w:autoSpaceDN w:val="0"/>
        <w:adjustRightInd w:val="0"/>
        <w:ind w:left="709" w:hanging="709"/>
        <w:jc w:val="both"/>
        <w:rPr>
          <w:rFonts w:cs="Arial"/>
          <w:u w:val="single"/>
        </w:rPr>
      </w:pPr>
      <w:r w:rsidRPr="00EA7AEA">
        <w:rPr>
          <w:rFonts w:cs="Arial"/>
          <w:u w:val="single"/>
        </w:rPr>
        <w:t>Conflict</w:t>
      </w:r>
      <w:r w:rsidR="00A94452" w:rsidRPr="00EA7AEA">
        <w:rPr>
          <w:rFonts w:cs="Arial"/>
          <w:u w:val="single"/>
        </w:rPr>
        <w:t>s</w:t>
      </w:r>
      <w:r w:rsidRPr="00EA7AEA">
        <w:rPr>
          <w:rFonts w:cs="Arial"/>
          <w:u w:val="single"/>
        </w:rPr>
        <w:t xml:space="preserve"> of Interest:</w:t>
      </w:r>
    </w:p>
    <w:p w:rsidR="00D16562" w:rsidRPr="00EA7AEA" w:rsidRDefault="00D16562" w:rsidP="00AD04DE">
      <w:pPr>
        <w:rPr>
          <w:rFonts w:cs="Arial"/>
        </w:rPr>
      </w:pPr>
    </w:p>
    <w:p w:rsidR="00AD04DE" w:rsidRPr="00EA7AEA" w:rsidRDefault="00275B0D" w:rsidP="004C7F61">
      <w:pPr>
        <w:jc w:val="both"/>
        <w:rPr>
          <w:rFonts w:cs="Arial"/>
        </w:rPr>
      </w:pPr>
      <w:r w:rsidRPr="00EA7AEA">
        <w:rPr>
          <w:rFonts w:cs="Arial"/>
        </w:rPr>
        <w:t>NHS Commissioning Board document (</w:t>
      </w:r>
      <w:r w:rsidR="007A7DAD" w:rsidRPr="00EA7AEA">
        <w:rPr>
          <w:rFonts w:cs="Arial"/>
        </w:rPr>
        <w:t>Oct</w:t>
      </w:r>
      <w:r w:rsidRPr="00EA7AEA">
        <w:rPr>
          <w:rFonts w:cs="Arial"/>
        </w:rPr>
        <w:t xml:space="preserve"> 2012) entitled Code of Conduct, outlines guidance for managing conflicts of interest where GP practices are potential providers of CCG-commissioned services.</w:t>
      </w:r>
    </w:p>
    <w:p w:rsidR="00275B0D" w:rsidRPr="00EA7AEA" w:rsidRDefault="00275B0D" w:rsidP="004C7F61">
      <w:pPr>
        <w:jc w:val="both"/>
        <w:rPr>
          <w:rFonts w:cs="Arial"/>
        </w:rPr>
      </w:pPr>
    </w:p>
    <w:p w:rsidR="00275B0D" w:rsidRPr="00EA7AEA" w:rsidRDefault="00D4121E" w:rsidP="004C7F61">
      <w:pPr>
        <w:jc w:val="both"/>
        <w:rPr>
          <w:rFonts w:cs="Arial"/>
        </w:rPr>
      </w:pPr>
      <w:r w:rsidRPr="00EA7AEA">
        <w:rPr>
          <w:rFonts w:cs="Arial"/>
        </w:rPr>
        <w:t>The G</w:t>
      </w:r>
      <w:r w:rsidR="0017630A" w:rsidRPr="00EA7AEA">
        <w:rPr>
          <w:rFonts w:cs="Arial"/>
        </w:rPr>
        <w:t xml:space="preserve">CCG will fully adopt this guidance to ensure </w:t>
      </w:r>
      <w:r w:rsidR="00BC2659" w:rsidRPr="00EA7AEA">
        <w:rPr>
          <w:rFonts w:cs="Arial"/>
        </w:rPr>
        <w:t xml:space="preserve">that potential conflicts of interest are managed appropriately and that the </w:t>
      </w:r>
      <w:r w:rsidRPr="00EA7AEA">
        <w:rPr>
          <w:rFonts w:cs="Arial"/>
        </w:rPr>
        <w:t>G</w:t>
      </w:r>
      <w:r w:rsidR="00BC2659" w:rsidRPr="00EA7AEA">
        <w:rPr>
          <w:rFonts w:cs="Arial"/>
        </w:rPr>
        <w:t>CCG and GP practices are protected from any perceptions of wrong-doing.</w:t>
      </w:r>
    </w:p>
    <w:p w:rsidR="00BC2659" w:rsidRPr="00EA7AEA" w:rsidRDefault="00BC2659" w:rsidP="00AD04DE">
      <w:pPr>
        <w:rPr>
          <w:rFonts w:cs="Arial"/>
        </w:rPr>
      </w:pPr>
    </w:p>
    <w:p w:rsidR="00AD04DE" w:rsidRPr="00EA7AEA" w:rsidRDefault="00AD04DE" w:rsidP="00D16562">
      <w:pPr>
        <w:pStyle w:val="ListParagraph"/>
        <w:rPr>
          <w:rFonts w:cs="Arial"/>
        </w:rPr>
      </w:pPr>
    </w:p>
    <w:p w:rsidR="00D16562" w:rsidRPr="00EA7AEA" w:rsidRDefault="00D16562" w:rsidP="00264B71">
      <w:pPr>
        <w:pStyle w:val="ListParagraph"/>
        <w:numPr>
          <w:ilvl w:val="0"/>
          <w:numId w:val="3"/>
        </w:numPr>
        <w:autoSpaceDE w:val="0"/>
        <w:autoSpaceDN w:val="0"/>
        <w:adjustRightInd w:val="0"/>
        <w:ind w:left="709" w:hanging="709"/>
        <w:jc w:val="both"/>
        <w:rPr>
          <w:rFonts w:cs="Arial"/>
          <w:u w:val="single"/>
        </w:rPr>
      </w:pPr>
      <w:r w:rsidRPr="00EA7AEA">
        <w:rPr>
          <w:rFonts w:cs="Arial"/>
          <w:u w:val="single"/>
        </w:rPr>
        <w:t>Equality Impact Assessment:</w:t>
      </w:r>
    </w:p>
    <w:p w:rsidR="00D16562" w:rsidRPr="00EA7AEA" w:rsidRDefault="00D16562" w:rsidP="004D2624">
      <w:pPr>
        <w:autoSpaceDE w:val="0"/>
        <w:autoSpaceDN w:val="0"/>
        <w:adjustRightInd w:val="0"/>
        <w:jc w:val="both"/>
        <w:rPr>
          <w:rFonts w:cs="Arial"/>
        </w:rPr>
      </w:pPr>
    </w:p>
    <w:p w:rsidR="000A3B62" w:rsidRPr="00EA7AEA" w:rsidRDefault="000A3B62" w:rsidP="00BE69CE">
      <w:pPr>
        <w:autoSpaceDE w:val="0"/>
        <w:autoSpaceDN w:val="0"/>
        <w:adjustRightInd w:val="0"/>
        <w:jc w:val="both"/>
        <w:rPr>
          <w:rFonts w:cs="Arial"/>
        </w:rPr>
      </w:pPr>
      <w:r w:rsidRPr="00EA7AEA">
        <w:rPr>
          <w:rFonts w:cs="Arial"/>
        </w:rPr>
        <w:t xml:space="preserve">The </w:t>
      </w:r>
      <w:r w:rsidR="00D4121E" w:rsidRPr="00EA7AEA">
        <w:rPr>
          <w:rFonts w:cs="Arial"/>
        </w:rPr>
        <w:t>G</w:t>
      </w:r>
      <w:r w:rsidRPr="00EA7AEA">
        <w:rPr>
          <w:rFonts w:cs="Arial"/>
        </w:rPr>
        <w:t xml:space="preserve">CCG will conduct an Equality Impact Assessment at key stages of all procurement tender processes. EIA’s will examine all proposed changes, assessing their impact on groups, individuals and communities.  EIA outcomes will be made available on request.  </w:t>
      </w:r>
    </w:p>
    <w:p w:rsidR="00D16562" w:rsidRPr="00EA7AEA" w:rsidRDefault="00D16562"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BE69CE">
      <w:pPr>
        <w:pStyle w:val="ListParagraph"/>
        <w:numPr>
          <w:ilvl w:val="0"/>
          <w:numId w:val="3"/>
        </w:numPr>
        <w:ind w:left="709" w:hanging="709"/>
        <w:rPr>
          <w:rFonts w:cs="Arial"/>
        </w:rPr>
      </w:pPr>
      <w:r w:rsidRPr="00EA7AEA">
        <w:rPr>
          <w:rFonts w:cs="Arial"/>
          <w:u w:val="single"/>
        </w:rPr>
        <w:lastRenderedPageBreak/>
        <w:t>Existing Commissioning Procurements – Organisational Transition:</w:t>
      </w:r>
      <w:r w:rsidRPr="00EA7AEA">
        <w:rPr>
          <w:rFonts w:cs="Arial"/>
        </w:rPr>
        <w:t xml:space="preserve"> </w:t>
      </w:r>
    </w:p>
    <w:p w:rsidR="00BE69CE" w:rsidRPr="00EA7AEA" w:rsidRDefault="00BE69CE" w:rsidP="00BE69CE">
      <w:pPr>
        <w:rPr>
          <w:rFonts w:cs="Arial"/>
        </w:rPr>
      </w:pPr>
    </w:p>
    <w:p w:rsidR="00BE69CE" w:rsidRPr="00EA7AEA" w:rsidRDefault="00BE69CE" w:rsidP="00BE69CE">
      <w:pPr>
        <w:jc w:val="both"/>
        <w:rPr>
          <w:rFonts w:cs="Arial"/>
        </w:rPr>
      </w:pPr>
      <w:r w:rsidRPr="00EA7AEA">
        <w:rPr>
          <w:rFonts w:cs="Arial"/>
        </w:rPr>
        <w:t>As part of the transition to the new Commissioning architecture, the NHS Gloucestershire Clinical Commissioning Group will continue to progress all current procurement schemes commissioned by NHS Gloucestershire (Gloucestershire Primary Care Trust).  These are:</w:t>
      </w:r>
    </w:p>
    <w:p w:rsidR="00BE69CE" w:rsidRPr="00EA7AEA" w:rsidRDefault="00BE69CE" w:rsidP="00BE69CE">
      <w:pPr>
        <w:rPr>
          <w:rFonts w:cs="Arial"/>
        </w:rPr>
      </w:pPr>
    </w:p>
    <w:tbl>
      <w:tblPr>
        <w:tblW w:w="0" w:type="auto"/>
        <w:tblCellMar>
          <w:left w:w="0" w:type="dxa"/>
          <w:right w:w="0" w:type="dxa"/>
        </w:tblCellMar>
        <w:tblLook w:val="04A0" w:firstRow="1" w:lastRow="0" w:firstColumn="1" w:lastColumn="0" w:noHBand="0" w:noVBand="1"/>
      </w:tblPr>
      <w:tblGrid>
        <w:gridCol w:w="4788"/>
        <w:gridCol w:w="4392"/>
      </w:tblGrid>
      <w:tr w:rsidR="00BE69CE" w:rsidRPr="00EA7AEA" w:rsidTr="00BE69CE">
        <w:tc>
          <w:tcPr>
            <w:tcW w:w="4788"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rsidR="00BE69CE" w:rsidRPr="00EA7AEA" w:rsidRDefault="00BE69CE">
            <w:pPr>
              <w:rPr>
                <w:rFonts w:cs="Arial"/>
                <w:b/>
                <w:bCs/>
                <w:sz w:val="20"/>
                <w:szCs w:val="20"/>
              </w:rPr>
            </w:pPr>
          </w:p>
          <w:p w:rsidR="00BE69CE" w:rsidRPr="00EA7AEA" w:rsidRDefault="00BE69CE">
            <w:pPr>
              <w:rPr>
                <w:rFonts w:cs="Arial"/>
                <w:b/>
                <w:bCs/>
                <w:sz w:val="20"/>
                <w:szCs w:val="20"/>
              </w:rPr>
            </w:pPr>
            <w:r w:rsidRPr="00EA7AEA">
              <w:rPr>
                <w:rFonts w:cs="Arial"/>
                <w:b/>
                <w:bCs/>
                <w:sz w:val="20"/>
                <w:szCs w:val="20"/>
              </w:rPr>
              <w:t>Procurement Title:</w:t>
            </w:r>
          </w:p>
          <w:p w:rsidR="00BE69CE" w:rsidRPr="00EA7AEA" w:rsidRDefault="00BE69CE">
            <w:pPr>
              <w:rPr>
                <w:rFonts w:cs="Arial"/>
                <w:b/>
                <w:bCs/>
                <w:sz w:val="20"/>
                <w:szCs w:val="20"/>
              </w:rPr>
            </w:pPr>
          </w:p>
        </w:tc>
        <w:tc>
          <w:tcPr>
            <w:tcW w:w="4392"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tcPr>
          <w:p w:rsidR="00BE69CE" w:rsidRPr="00EA7AEA" w:rsidRDefault="00BE69CE">
            <w:pPr>
              <w:rPr>
                <w:rFonts w:cs="Arial"/>
                <w:b/>
                <w:bCs/>
                <w:sz w:val="20"/>
                <w:szCs w:val="20"/>
              </w:rPr>
            </w:pPr>
          </w:p>
          <w:p w:rsidR="00BE69CE" w:rsidRPr="00EA7AEA" w:rsidRDefault="00BE69CE">
            <w:pPr>
              <w:rPr>
                <w:rFonts w:cs="Arial"/>
                <w:b/>
                <w:bCs/>
                <w:sz w:val="20"/>
                <w:szCs w:val="20"/>
              </w:rPr>
            </w:pPr>
            <w:r w:rsidRPr="00EA7AEA">
              <w:rPr>
                <w:rFonts w:cs="Arial"/>
                <w:b/>
                <w:bCs/>
                <w:sz w:val="20"/>
                <w:szCs w:val="20"/>
              </w:rPr>
              <w:t>Anticipated Service Commencement Date:</w:t>
            </w:r>
          </w:p>
        </w:tc>
      </w:tr>
      <w:tr w:rsidR="00BE69CE" w:rsidRPr="00EA7AEA" w:rsidTr="00BE69C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69CE" w:rsidRPr="00EA7AEA" w:rsidRDefault="00BE69CE">
            <w:pPr>
              <w:rPr>
                <w:rFonts w:cs="Arial"/>
                <w:sz w:val="20"/>
                <w:szCs w:val="20"/>
              </w:rPr>
            </w:pPr>
            <w:r w:rsidRPr="00EA7AEA">
              <w:rPr>
                <w:rFonts w:cs="Arial"/>
                <w:sz w:val="20"/>
                <w:szCs w:val="20"/>
              </w:rPr>
              <w:t>GP Out of Hours Services</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rsidR="00BE69CE" w:rsidRPr="00EA7AEA" w:rsidRDefault="00BE69CE">
            <w:pPr>
              <w:rPr>
                <w:rFonts w:cs="Arial"/>
                <w:sz w:val="20"/>
                <w:szCs w:val="20"/>
              </w:rPr>
            </w:pPr>
            <w:r w:rsidRPr="00EA7AEA">
              <w:rPr>
                <w:rFonts w:cs="Arial"/>
                <w:sz w:val="20"/>
                <w:szCs w:val="20"/>
              </w:rPr>
              <w:t>1 November 2013</w:t>
            </w:r>
          </w:p>
        </w:tc>
      </w:tr>
      <w:tr w:rsidR="00BE69CE" w:rsidRPr="00EA7AEA" w:rsidTr="00BE69C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69CE" w:rsidRPr="00EA7AEA" w:rsidRDefault="00BE69CE">
            <w:pPr>
              <w:rPr>
                <w:rFonts w:cs="Arial"/>
                <w:sz w:val="20"/>
                <w:szCs w:val="20"/>
              </w:rPr>
            </w:pPr>
            <w:r w:rsidRPr="00EA7AEA">
              <w:rPr>
                <w:rFonts w:cs="Arial"/>
                <w:sz w:val="20"/>
                <w:szCs w:val="20"/>
              </w:rPr>
              <w:t>AQP – Computerised Tomography Services</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rsidR="00BE69CE" w:rsidRPr="00EA7AEA" w:rsidRDefault="00BE69CE">
            <w:pPr>
              <w:rPr>
                <w:rFonts w:cs="Arial"/>
                <w:sz w:val="20"/>
                <w:szCs w:val="20"/>
              </w:rPr>
            </w:pPr>
            <w:r w:rsidRPr="00EA7AEA">
              <w:rPr>
                <w:rFonts w:cs="Arial"/>
                <w:sz w:val="20"/>
                <w:szCs w:val="20"/>
              </w:rPr>
              <w:t>April 2013</w:t>
            </w:r>
          </w:p>
        </w:tc>
      </w:tr>
      <w:tr w:rsidR="00BE69CE" w:rsidRPr="00EA7AEA" w:rsidTr="00BE69C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69CE" w:rsidRPr="00EA7AEA" w:rsidRDefault="00BE69CE">
            <w:pPr>
              <w:rPr>
                <w:rFonts w:cs="Arial"/>
                <w:sz w:val="20"/>
                <w:szCs w:val="20"/>
              </w:rPr>
            </w:pPr>
            <w:r w:rsidRPr="00EA7AEA">
              <w:rPr>
                <w:rFonts w:cs="Arial"/>
                <w:sz w:val="20"/>
                <w:szCs w:val="20"/>
              </w:rPr>
              <w:t>AQP – Elective Care Services</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rsidR="00BE69CE" w:rsidRPr="00EA7AEA" w:rsidRDefault="00BE69CE">
            <w:pPr>
              <w:rPr>
                <w:rFonts w:cs="Arial"/>
                <w:sz w:val="20"/>
                <w:szCs w:val="20"/>
              </w:rPr>
            </w:pPr>
            <w:r w:rsidRPr="00EA7AEA">
              <w:rPr>
                <w:rFonts w:cs="Arial"/>
                <w:sz w:val="20"/>
                <w:szCs w:val="20"/>
              </w:rPr>
              <w:t>April 2013</w:t>
            </w:r>
          </w:p>
        </w:tc>
      </w:tr>
      <w:tr w:rsidR="00BE69CE" w:rsidRPr="00EA7AEA" w:rsidTr="00BE69C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69CE" w:rsidRPr="00EA7AEA" w:rsidRDefault="00BE69CE">
            <w:pPr>
              <w:rPr>
                <w:rFonts w:cs="Arial"/>
                <w:sz w:val="20"/>
                <w:szCs w:val="20"/>
              </w:rPr>
            </w:pPr>
            <w:r w:rsidRPr="00EA7AEA">
              <w:rPr>
                <w:rFonts w:cs="Arial"/>
                <w:sz w:val="20"/>
                <w:szCs w:val="20"/>
              </w:rPr>
              <w:t>AQP – Endoscopy Services</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rsidR="00BE69CE" w:rsidRPr="00EA7AEA" w:rsidRDefault="00BE69CE">
            <w:pPr>
              <w:rPr>
                <w:rFonts w:cs="Arial"/>
                <w:sz w:val="20"/>
                <w:szCs w:val="20"/>
              </w:rPr>
            </w:pPr>
            <w:r w:rsidRPr="00EA7AEA">
              <w:rPr>
                <w:rFonts w:cs="Arial"/>
                <w:sz w:val="20"/>
                <w:szCs w:val="20"/>
              </w:rPr>
              <w:t>April 2013</w:t>
            </w:r>
          </w:p>
        </w:tc>
      </w:tr>
      <w:tr w:rsidR="00BE69CE" w:rsidRPr="00EA7AEA" w:rsidTr="00BE69C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69CE" w:rsidRPr="00EA7AEA" w:rsidRDefault="00BE69CE">
            <w:pPr>
              <w:rPr>
                <w:rFonts w:cs="Arial"/>
                <w:sz w:val="20"/>
                <w:szCs w:val="20"/>
              </w:rPr>
            </w:pPr>
            <w:r w:rsidRPr="00EA7AEA">
              <w:rPr>
                <w:rFonts w:cs="Arial"/>
                <w:sz w:val="20"/>
                <w:szCs w:val="20"/>
              </w:rPr>
              <w:t>AQP – Magnetic Resonance Imaging Services</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rsidR="00BE69CE" w:rsidRPr="00EA7AEA" w:rsidRDefault="00BE69CE">
            <w:pPr>
              <w:rPr>
                <w:rFonts w:cs="Arial"/>
                <w:sz w:val="20"/>
                <w:szCs w:val="20"/>
              </w:rPr>
            </w:pPr>
            <w:r w:rsidRPr="00EA7AEA">
              <w:rPr>
                <w:rFonts w:cs="Arial"/>
                <w:sz w:val="20"/>
                <w:szCs w:val="20"/>
              </w:rPr>
              <w:t>April 2013</w:t>
            </w:r>
          </w:p>
        </w:tc>
      </w:tr>
      <w:tr w:rsidR="00BE69CE" w:rsidRPr="00EA7AEA" w:rsidTr="00BE69C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69CE" w:rsidRPr="00EA7AEA" w:rsidRDefault="00BE69CE">
            <w:pPr>
              <w:rPr>
                <w:rFonts w:cs="Arial"/>
                <w:sz w:val="20"/>
                <w:szCs w:val="20"/>
              </w:rPr>
            </w:pPr>
            <w:r w:rsidRPr="00EA7AEA">
              <w:rPr>
                <w:rFonts w:cs="Arial"/>
                <w:sz w:val="20"/>
                <w:szCs w:val="20"/>
              </w:rPr>
              <w:t>AQP – Non-Obstetric Ultrasound Services</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rsidR="00BE69CE" w:rsidRPr="00EA7AEA" w:rsidRDefault="00BE69CE">
            <w:pPr>
              <w:rPr>
                <w:rFonts w:cs="Arial"/>
                <w:sz w:val="20"/>
                <w:szCs w:val="20"/>
              </w:rPr>
            </w:pPr>
            <w:r w:rsidRPr="00EA7AEA">
              <w:rPr>
                <w:rFonts w:cs="Arial"/>
                <w:sz w:val="20"/>
                <w:szCs w:val="20"/>
              </w:rPr>
              <w:t>April 2013</w:t>
            </w:r>
          </w:p>
        </w:tc>
      </w:tr>
    </w:tbl>
    <w:p w:rsidR="00BE69CE" w:rsidRPr="00EA7AEA" w:rsidRDefault="00BE69CE" w:rsidP="00BE69CE">
      <w:pPr>
        <w:rPr>
          <w:rFonts w:cs="Arial"/>
        </w:rPr>
      </w:pPr>
      <w:r w:rsidRPr="00EA7AEA">
        <w:rPr>
          <w:rFonts w:cs="Arial"/>
        </w:rPr>
        <w:t xml:space="preserve">  </w:t>
      </w:r>
    </w:p>
    <w:p w:rsidR="00A074B1" w:rsidRPr="00EA7AEA" w:rsidRDefault="00A074B1"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BE69CE" w:rsidRPr="00EA7AEA" w:rsidRDefault="00BE69CE" w:rsidP="004D2624">
      <w:pPr>
        <w:autoSpaceDE w:val="0"/>
        <w:autoSpaceDN w:val="0"/>
        <w:adjustRightInd w:val="0"/>
        <w:jc w:val="both"/>
        <w:rPr>
          <w:rFonts w:cs="Arial"/>
        </w:rPr>
      </w:pPr>
    </w:p>
    <w:p w:rsidR="00057C99" w:rsidRPr="00EA7AEA" w:rsidRDefault="00057C99" w:rsidP="00057C99">
      <w:pPr>
        <w:rPr>
          <w:rFonts w:cs="Arial"/>
          <w:b/>
          <w:sz w:val="28"/>
          <w:szCs w:val="28"/>
        </w:rPr>
      </w:pPr>
      <w:r w:rsidRPr="00EA7AEA">
        <w:rPr>
          <w:rFonts w:cs="Arial"/>
          <w:b/>
          <w:sz w:val="28"/>
          <w:szCs w:val="28"/>
        </w:rPr>
        <w:lastRenderedPageBreak/>
        <w:t>Part B</w:t>
      </w:r>
      <w:r w:rsidRPr="00EA7AEA">
        <w:rPr>
          <w:rFonts w:cs="Arial"/>
          <w:b/>
          <w:sz w:val="28"/>
          <w:szCs w:val="28"/>
        </w:rPr>
        <w:tab/>
        <w:t>Contestability Framework:</w:t>
      </w:r>
    </w:p>
    <w:p w:rsidR="00057C99" w:rsidRPr="00EA7AEA" w:rsidRDefault="00057C99" w:rsidP="00F148A6">
      <w:pPr>
        <w:rPr>
          <w:rFonts w:cs="Arial"/>
          <w:b/>
          <w:sz w:val="28"/>
          <w:szCs w:val="28"/>
        </w:rPr>
      </w:pPr>
    </w:p>
    <w:p w:rsidR="00CF7778" w:rsidRPr="00EA7AEA" w:rsidRDefault="00CF7778" w:rsidP="00264B71">
      <w:pPr>
        <w:pStyle w:val="ListParagraph"/>
        <w:numPr>
          <w:ilvl w:val="0"/>
          <w:numId w:val="51"/>
        </w:numPr>
        <w:ind w:hanging="720"/>
        <w:jc w:val="both"/>
        <w:rPr>
          <w:rFonts w:cs="Arial"/>
          <w:u w:val="single"/>
        </w:rPr>
      </w:pPr>
      <w:r w:rsidRPr="00EA7AEA">
        <w:rPr>
          <w:rFonts w:cs="Arial"/>
          <w:u w:val="single"/>
        </w:rPr>
        <w:t>Introduction:</w:t>
      </w:r>
    </w:p>
    <w:p w:rsidR="00CF7778" w:rsidRPr="00EA7AEA" w:rsidRDefault="00CF7778" w:rsidP="00CF7778">
      <w:pPr>
        <w:jc w:val="both"/>
        <w:rPr>
          <w:rFonts w:cs="Arial"/>
        </w:rPr>
      </w:pPr>
    </w:p>
    <w:p w:rsidR="00CF7778" w:rsidRPr="00EA7AEA" w:rsidRDefault="00CF7778" w:rsidP="00CF7778">
      <w:pPr>
        <w:jc w:val="both"/>
        <w:rPr>
          <w:rFonts w:cs="Arial"/>
        </w:rPr>
      </w:pPr>
      <w:r w:rsidRPr="00EA7AEA">
        <w:rPr>
          <w:rFonts w:cs="Arial"/>
        </w:rPr>
        <w:t>Contestability (or competition) can be an effective method of driving improvements to service quality, enabling change, managing overall service cost, and encouraging new providers and innovation into new, emerging or existing markets.</w:t>
      </w:r>
    </w:p>
    <w:p w:rsidR="00CF7778" w:rsidRPr="00EA7AEA" w:rsidRDefault="00CF7778" w:rsidP="00CF7778">
      <w:pPr>
        <w:jc w:val="both"/>
        <w:rPr>
          <w:rFonts w:cs="Arial"/>
        </w:rPr>
      </w:pPr>
    </w:p>
    <w:p w:rsidR="00CF7778" w:rsidRPr="00EA7AEA" w:rsidRDefault="00CF7778" w:rsidP="00CF7778">
      <w:pPr>
        <w:jc w:val="both"/>
        <w:rPr>
          <w:rFonts w:cs="Arial"/>
        </w:rPr>
      </w:pPr>
      <w:r w:rsidRPr="00EA7AEA">
        <w:rPr>
          <w:rFonts w:cs="Arial"/>
        </w:rPr>
        <w:t>Traditionally, and in the majority of cases, elective care procedures were provided by neighbouring NHS Trusts under existing standard Department of Health contractual terms. Whilst quality of care could be monitored / improved, patients were unable to select from a range of health</w:t>
      </w:r>
      <w:r w:rsidR="00E46443" w:rsidRPr="00EA7AEA">
        <w:rPr>
          <w:rFonts w:cs="Arial"/>
        </w:rPr>
        <w:t xml:space="preserve"> </w:t>
      </w:r>
      <w:r w:rsidRPr="00EA7AEA">
        <w:rPr>
          <w:rFonts w:cs="Arial"/>
        </w:rPr>
        <w:t xml:space="preserve">care providers. </w:t>
      </w:r>
    </w:p>
    <w:p w:rsidR="00CF7778" w:rsidRPr="00EA7AEA" w:rsidRDefault="00CF7778" w:rsidP="00CF7778">
      <w:pPr>
        <w:jc w:val="both"/>
        <w:rPr>
          <w:rFonts w:cs="Arial"/>
        </w:rPr>
      </w:pPr>
    </w:p>
    <w:p w:rsidR="00CF7778" w:rsidRPr="00EA7AEA" w:rsidRDefault="00CF7778" w:rsidP="00CF7778">
      <w:pPr>
        <w:jc w:val="both"/>
        <w:rPr>
          <w:rFonts w:cs="Arial"/>
        </w:rPr>
      </w:pPr>
      <w:r w:rsidRPr="00EA7AEA">
        <w:rPr>
          <w:rFonts w:cs="Arial"/>
        </w:rPr>
        <w:t>In July 2011, the Cooperation and Competition Panel (CCP) reported on the implementation of patient choice of Any Qualified Provider in elective services.  Nine recommendations were proposed to increase patient choice and included the following requirement:</w:t>
      </w:r>
    </w:p>
    <w:p w:rsidR="00CF7778" w:rsidRPr="00EA7AEA" w:rsidRDefault="00CF7778" w:rsidP="00CF7778">
      <w:pPr>
        <w:jc w:val="both"/>
        <w:rPr>
          <w:rFonts w:cs="Arial"/>
        </w:rPr>
      </w:pPr>
    </w:p>
    <w:p w:rsidR="00CF7778" w:rsidRPr="00EA7AEA" w:rsidRDefault="00CF7778" w:rsidP="00CF7778">
      <w:pPr>
        <w:ind w:left="2160" w:hanging="2160"/>
        <w:jc w:val="both"/>
        <w:rPr>
          <w:rFonts w:cs="Arial"/>
        </w:rPr>
      </w:pPr>
      <w:r w:rsidRPr="00EA7AEA">
        <w:rPr>
          <w:rFonts w:cs="Arial"/>
        </w:rPr>
        <w:t>Recommendation 1:</w:t>
      </w:r>
      <w:r w:rsidRPr="00EA7AEA">
        <w:rPr>
          <w:rFonts w:cs="Arial"/>
        </w:rPr>
        <w:tab/>
        <w:t>Commissioners to review their existing practices in relation to restrictions on patient choice and competition, and take steps to bring themselves into compliance with the Principles and Rules of Cooperation and Competition (July 2010).</w:t>
      </w:r>
    </w:p>
    <w:p w:rsidR="00CF7778" w:rsidRPr="00EA7AEA" w:rsidRDefault="00CF7778" w:rsidP="00CF7778">
      <w:pPr>
        <w:ind w:left="2160" w:hanging="2160"/>
        <w:jc w:val="both"/>
        <w:rPr>
          <w:rFonts w:cs="Arial"/>
        </w:rPr>
      </w:pPr>
    </w:p>
    <w:p w:rsidR="00CF7778" w:rsidRPr="00EA7AEA" w:rsidRDefault="00CF7778" w:rsidP="00CF7778">
      <w:pPr>
        <w:jc w:val="both"/>
        <w:rPr>
          <w:rFonts w:cs="Arial"/>
        </w:rPr>
      </w:pPr>
      <w:r w:rsidRPr="00EA7AEA">
        <w:rPr>
          <w:rFonts w:cs="Arial"/>
        </w:rPr>
        <w:t>Recently, and particularly since the introduction of the aforementioned Patient Choice and PRCC guidance, there has been a considerable increase in the number of voluntary (Third Sector) and private organisations entering the health</w:t>
      </w:r>
      <w:r w:rsidR="00E46443" w:rsidRPr="00EA7AEA">
        <w:rPr>
          <w:rFonts w:cs="Arial"/>
        </w:rPr>
        <w:t xml:space="preserve"> </w:t>
      </w:r>
      <w:r w:rsidRPr="00EA7AEA">
        <w:rPr>
          <w:rFonts w:cs="Arial"/>
        </w:rPr>
        <w:t>care provision market.  Patients are now actively encouraged to select the health</w:t>
      </w:r>
      <w:r w:rsidR="00E46443" w:rsidRPr="00EA7AEA">
        <w:rPr>
          <w:rFonts w:cs="Arial"/>
        </w:rPr>
        <w:t xml:space="preserve"> </w:t>
      </w:r>
      <w:r w:rsidRPr="00EA7AEA">
        <w:rPr>
          <w:rFonts w:cs="Arial"/>
        </w:rPr>
        <w:t>care provider which provides the most timely</w:t>
      </w:r>
      <w:r w:rsidR="00000C92" w:rsidRPr="00EA7AEA">
        <w:rPr>
          <w:rFonts w:cs="Arial"/>
        </w:rPr>
        <w:t xml:space="preserve"> and </w:t>
      </w:r>
      <w:r w:rsidRPr="00EA7AEA">
        <w:rPr>
          <w:rFonts w:cs="Arial"/>
        </w:rPr>
        <w:t>geographically convenient service.</w:t>
      </w:r>
    </w:p>
    <w:p w:rsidR="00CF7778" w:rsidRPr="00EA7AEA" w:rsidRDefault="00CF7778" w:rsidP="00CF7778">
      <w:pPr>
        <w:jc w:val="both"/>
        <w:rPr>
          <w:rFonts w:cs="Arial"/>
        </w:rPr>
      </w:pPr>
    </w:p>
    <w:p w:rsidR="00CF7778" w:rsidRPr="00EA7AEA" w:rsidRDefault="00CF7778" w:rsidP="00CF7778">
      <w:pPr>
        <w:jc w:val="both"/>
        <w:rPr>
          <w:rFonts w:cs="Arial"/>
        </w:rPr>
      </w:pPr>
      <w:r w:rsidRPr="00EA7AEA">
        <w:rPr>
          <w:rFonts w:cs="Arial"/>
        </w:rPr>
        <w:t>In consequence, NHS provider monopolies are becoming a thing of the past in terms of publicly funded health</w:t>
      </w:r>
      <w:r w:rsidR="00E46443" w:rsidRPr="00EA7AEA">
        <w:rPr>
          <w:rFonts w:cs="Arial"/>
        </w:rPr>
        <w:t xml:space="preserve"> </w:t>
      </w:r>
      <w:r w:rsidRPr="00EA7AEA">
        <w:rPr>
          <w:rFonts w:cs="Arial"/>
        </w:rPr>
        <w:t xml:space="preserve">care and </w:t>
      </w:r>
      <w:r w:rsidR="00E2105F" w:rsidRPr="00EA7AEA">
        <w:rPr>
          <w:rFonts w:cs="Arial"/>
        </w:rPr>
        <w:t>the GCCG</w:t>
      </w:r>
      <w:r w:rsidRPr="00EA7AEA">
        <w:rPr>
          <w:rFonts w:cs="Arial"/>
        </w:rPr>
        <w:t xml:space="preserve"> is actively developing its market knowledge and its experience of market testing and procurement.</w:t>
      </w:r>
    </w:p>
    <w:p w:rsidR="00CF7778" w:rsidRPr="00EA7AEA" w:rsidRDefault="00CF7778" w:rsidP="00CF7778">
      <w:pPr>
        <w:jc w:val="both"/>
        <w:rPr>
          <w:rFonts w:cs="Arial"/>
        </w:rPr>
      </w:pPr>
    </w:p>
    <w:p w:rsidR="00CF7778" w:rsidRPr="00EA7AEA" w:rsidRDefault="00CF7778" w:rsidP="00CF7778">
      <w:pPr>
        <w:autoSpaceDE w:val="0"/>
        <w:autoSpaceDN w:val="0"/>
        <w:adjustRightInd w:val="0"/>
        <w:jc w:val="both"/>
        <w:rPr>
          <w:rFonts w:cs="Arial"/>
        </w:rPr>
      </w:pPr>
      <w:r w:rsidRPr="00EA7AEA">
        <w:rPr>
          <w:rFonts w:cs="Arial"/>
        </w:rPr>
        <w:t>There are, however, potentially risks in adopting a market based model of health</w:t>
      </w:r>
      <w:r w:rsidR="00E46443" w:rsidRPr="00EA7AEA">
        <w:rPr>
          <w:rFonts w:cs="Arial"/>
        </w:rPr>
        <w:t xml:space="preserve"> </w:t>
      </w:r>
      <w:r w:rsidRPr="00EA7AEA">
        <w:rPr>
          <w:rFonts w:cs="Arial"/>
        </w:rPr>
        <w:t>care provision, not least in terms of the potential impact if a key local provider becomes financially or operationally unviable due to competitors taking on only certain elements of NHS provision. Many services also have important clinical, operational and financial linkages which may not as easily be maintained across different organisations.</w:t>
      </w:r>
    </w:p>
    <w:p w:rsidR="00CF7778" w:rsidRPr="00EA7AEA" w:rsidRDefault="00CF7778" w:rsidP="00CF7778">
      <w:pPr>
        <w:autoSpaceDE w:val="0"/>
        <w:autoSpaceDN w:val="0"/>
        <w:adjustRightInd w:val="0"/>
        <w:jc w:val="both"/>
        <w:rPr>
          <w:rFonts w:cs="Arial"/>
        </w:rPr>
      </w:pPr>
    </w:p>
    <w:p w:rsidR="00CF7778" w:rsidRPr="00EA7AEA" w:rsidRDefault="00CF7778" w:rsidP="00CF7778">
      <w:pPr>
        <w:autoSpaceDE w:val="0"/>
        <w:autoSpaceDN w:val="0"/>
        <w:adjustRightInd w:val="0"/>
        <w:jc w:val="both"/>
        <w:rPr>
          <w:rFonts w:cs="Arial"/>
        </w:rPr>
      </w:pPr>
      <w:r w:rsidRPr="00EA7AEA">
        <w:rPr>
          <w:rFonts w:cs="Arial"/>
        </w:rPr>
        <w:t>Other risks in contesting the provision of services could include:</w:t>
      </w:r>
    </w:p>
    <w:p w:rsidR="00CF7778" w:rsidRPr="00EA7AEA" w:rsidRDefault="00CF7778" w:rsidP="00CF7778">
      <w:pPr>
        <w:jc w:val="both"/>
        <w:rPr>
          <w:rFonts w:cs="Arial"/>
        </w:rPr>
      </w:pPr>
    </w:p>
    <w:p w:rsidR="00CF7778" w:rsidRPr="00EA7AEA" w:rsidRDefault="00CF7778" w:rsidP="00264B71">
      <w:pPr>
        <w:pStyle w:val="ListParagraph"/>
        <w:numPr>
          <w:ilvl w:val="0"/>
          <w:numId w:val="50"/>
        </w:numPr>
        <w:autoSpaceDE w:val="0"/>
        <w:autoSpaceDN w:val="0"/>
        <w:adjustRightInd w:val="0"/>
        <w:jc w:val="both"/>
        <w:rPr>
          <w:rFonts w:cs="Arial"/>
        </w:rPr>
      </w:pPr>
      <w:r w:rsidRPr="00EA7AEA">
        <w:rPr>
          <w:rFonts w:cs="Arial"/>
        </w:rPr>
        <w:t>Reduced service stability (i.e. existing service may for example struggle to recruit to key posts if its future is uncertain)</w:t>
      </w:r>
    </w:p>
    <w:p w:rsidR="00CF7778" w:rsidRPr="00EA7AEA" w:rsidRDefault="00CF7778" w:rsidP="00264B71">
      <w:pPr>
        <w:pStyle w:val="ListParagraph"/>
        <w:numPr>
          <w:ilvl w:val="0"/>
          <w:numId w:val="50"/>
        </w:numPr>
        <w:autoSpaceDE w:val="0"/>
        <w:autoSpaceDN w:val="0"/>
        <w:adjustRightInd w:val="0"/>
        <w:jc w:val="both"/>
        <w:rPr>
          <w:rFonts w:cs="Arial"/>
        </w:rPr>
      </w:pPr>
      <w:r w:rsidRPr="00EA7AEA">
        <w:rPr>
          <w:rFonts w:cs="Arial"/>
        </w:rPr>
        <w:t>Gaps in provision (where there is an insufficient market to provide all of the services being contested)</w:t>
      </w:r>
    </w:p>
    <w:p w:rsidR="00CF7778" w:rsidRPr="00EA7AEA" w:rsidRDefault="00CF7778" w:rsidP="00264B71">
      <w:pPr>
        <w:pStyle w:val="ListParagraph"/>
        <w:numPr>
          <w:ilvl w:val="0"/>
          <w:numId w:val="50"/>
        </w:numPr>
        <w:autoSpaceDE w:val="0"/>
        <w:autoSpaceDN w:val="0"/>
        <w:adjustRightInd w:val="0"/>
        <w:jc w:val="both"/>
        <w:rPr>
          <w:rFonts w:cs="Arial"/>
        </w:rPr>
      </w:pPr>
      <w:r w:rsidRPr="00EA7AEA">
        <w:rPr>
          <w:rFonts w:cs="Arial"/>
        </w:rPr>
        <w:t>Delays in effecting service change (given the length of time to complete a service specification, tendering and re-contracting process and the time for a new provider to implement a full service)</w:t>
      </w:r>
    </w:p>
    <w:p w:rsidR="00CF7778" w:rsidRPr="00EA7AEA" w:rsidRDefault="00CF7778" w:rsidP="00CF7778">
      <w:pPr>
        <w:jc w:val="both"/>
        <w:rPr>
          <w:rFonts w:cs="Arial"/>
        </w:rPr>
      </w:pPr>
    </w:p>
    <w:p w:rsidR="00CF7778" w:rsidRPr="00EA7AEA" w:rsidRDefault="00CF7778" w:rsidP="00264B71">
      <w:pPr>
        <w:pStyle w:val="ListParagraph"/>
        <w:numPr>
          <w:ilvl w:val="0"/>
          <w:numId w:val="51"/>
        </w:numPr>
        <w:ind w:hanging="720"/>
        <w:jc w:val="both"/>
        <w:rPr>
          <w:rFonts w:cs="Arial"/>
          <w:u w:val="single"/>
        </w:rPr>
      </w:pPr>
      <w:r w:rsidRPr="00EA7AEA">
        <w:rPr>
          <w:rFonts w:cs="Arial"/>
          <w:u w:val="single"/>
        </w:rPr>
        <w:t>Obligations on Commissioners:</w:t>
      </w:r>
    </w:p>
    <w:p w:rsidR="00CF7778" w:rsidRPr="00EA7AEA" w:rsidRDefault="00CF7778" w:rsidP="00CF7778">
      <w:pPr>
        <w:jc w:val="both"/>
        <w:rPr>
          <w:rFonts w:cs="Arial"/>
        </w:rPr>
      </w:pPr>
    </w:p>
    <w:p w:rsidR="00CF7778" w:rsidRPr="00EA7AEA" w:rsidRDefault="00CF7778" w:rsidP="00CF7778">
      <w:pPr>
        <w:autoSpaceDE w:val="0"/>
        <w:autoSpaceDN w:val="0"/>
        <w:adjustRightInd w:val="0"/>
        <w:jc w:val="both"/>
        <w:rPr>
          <w:rFonts w:cs="Arial"/>
        </w:rPr>
      </w:pPr>
      <w:r w:rsidRPr="00EA7AEA">
        <w:rPr>
          <w:rFonts w:cs="Arial"/>
        </w:rPr>
        <w:t xml:space="preserve">PRCC guidance states that Commissioners must commission service from the providers who are best placed to deliver the needs of their populations.  The guidance highlights that contestability is an option that the </w:t>
      </w:r>
      <w:r w:rsidR="00E2105F" w:rsidRPr="00EA7AEA">
        <w:rPr>
          <w:rFonts w:cs="Arial"/>
        </w:rPr>
        <w:t>G</w:t>
      </w:r>
      <w:r w:rsidRPr="00EA7AEA">
        <w:rPr>
          <w:rFonts w:cs="Arial"/>
        </w:rPr>
        <w:t xml:space="preserve">CCG will want to consider to achieve patient care </w:t>
      </w:r>
      <w:r w:rsidRPr="00EA7AEA">
        <w:rPr>
          <w:rFonts w:cs="Arial"/>
        </w:rPr>
        <w:lastRenderedPageBreak/>
        <w:t>benefits in specific circumstances, rather than being an approach that we would wish to take in every case.</w:t>
      </w:r>
    </w:p>
    <w:p w:rsidR="00CF7778" w:rsidRPr="00EA7AEA" w:rsidRDefault="00CF7778" w:rsidP="00CF7778">
      <w:pPr>
        <w:autoSpaceDE w:val="0"/>
        <w:autoSpaceDN w:val="0"/>
        <w:adjustRightInd w:val="0"/>
        <w:jc w:val="both"/>
        <w:rPr>
          <w:rFonts w:cs="Arial"/>
          <w:b/>
          <w:bCs/>
        </w:rPr>
      </w:pPr>
    </w:p>
    <w:p w:rsidR="00CF7778" w:rsidRPr="00EA7AEA" w:rsidRDefault="00CF7778" w:rsidP="00CF7778">
      <w:pPr>
        <w:autoSpaceDE w:val="0"/>
        <w:autoSpaceDN w:val="0"/>
        <w:adjustRightInd w:val="0"/>
        <w:jc w:val="both"/>
        <w:rPr>
          <w:rFonts w:cs="Arial"/>
          <w:b/>
          <w:bCs/>
        </w:rPr>
      </w:pPr>
    </w:p>
    <w:p w:rsidR="00CF7778" w:rsidRPr="00EA7AEA" w:rsidRDefault="00CF7778" w:rsidP="00264B71">
      <w:pPr>
        <w:pStyle w:val="ListParagraph"/>
        <w:numPr>
          <w:ilvl w:val="0"/>
          <w:numId w:val="51"/>
        </w:numPr>
        <w:autoSpaceDE w:val="0"/>
        <w:autoSpaceDN w:val="0"/>
        <w:adjustRightInd w:val="0"/>
        <w:ind w:hanging="720"/>
        <w:jc w:val="both"/>
        <w:rPr>
          <w:rFonts w:cs="Arial"/>
          <w:u w:val="single"/>
        </w:rPr>
      </w:pPr>
      <w:r w:rsidRPr="00EA7AEA">
        <w:rPr>
          <w:rFonts w:cs="Arial"/>
          <w:u w:val="single"/>
        </w:rPr>
        <w:t>Triggers for Contesting a Service</w:t>
      </w:r>
      <w:r w:rsidR="007115F7" w:rsidRPr="00EA7AEA">
        <w:rPr>
          <w:rFonts w:cs="Arial"/>
          <w:u w:val="single"/>
        </w:rPr>
        <w:t>:</w:t>
      </w:r>
    </w:p>
    <w:p w:rsidR="00CF7778" w:rsidRPr="00EA7AEA" w:rsidRDefault="00CF7778" w:rsidP="00CF7778">
      <w:pPr>
        <w:autoSpaceDE w:val="0"/>
        <w:autoSpaceDN w:val="0"/>
        <w:adjustRightInd w:val="0"/>
        <w:jc w:val="both"/>
        <w:rPr>
          <w:rFonts w:cs="Arial"/>
        </w:rPr>
      </w:pPr>
    </w:p>
    <w:p w:rsidR="00CF7778" w:rsidRPr="00EA7AEA" w:rsidRDefault="00CF7778" w:rsidP="00CF7778">
      <w:pPr>
        <w:autoSpaceDE w:val="0"/>
        <w:autoSpaceDN w:val="0"/>
        <w:adjustRightInd w:val="0"/>
        <w:jc w:val="both"/>
        <w:rPr>
          <w:rFonts w:cs="Arial"/>
        </w:rPr>
      </w:pPr>
      <w:r w:rsidRPr="00EA7AEA">
        <w:rPr>
          <w:rFonts w:cs="Arial"/>
        </w:rPr>
        <w:t xml:space="preserve">The </w:t>
      </w:r>
      <w:r w:rsidR="00E2105F" w:rsidRPr="00EA7AEA">
        <w:rPr>
          <w:rFonts w:cs="Arial"/>
        </w:rPr>
        <w:t>G</w:t>
      </w:r>
      <w:r w:rsidRPr="00EA7AEA">
        <w:rPr>
          <w:rFonts w:cs="Arial"/>
        </w:rPr>
        <w:t>CCG will consider contesting providers in the following scenarios:</w:t>
      </w:r>
    </w:p>
    <w:p w:rsidR="00CF7778" w:rsidRPr="00EA7AEA" w:rsidRDefault="00CF7778" w:rsidP="00CF7778">
      <w:pPr>
        <w:autoSpaceDE w:val="0"/>
        <w:autoSpaceDN w:val="0"/>
        <w:adjustRightInd w:val="0"/>
        <w:jc w:val="both"/>
        <w:rPr>
          <w:rFonts w:cs="Arial"/>
        </w:rPr>
      </w:pPr>
    </w:p>
    <w:p w:rsidR="00CF7778" w:rsidRPr="00EA7AEA" w:rsidRDefault="00CF7778" w:rsidP="00264B71">
      <w:pPr>
        <w:pStyle w:val="ListParagraph"/>
        <w:numPr>
          <w:ilvl w:val="0"/>
          <w:numId w:val="48"/>
        </w:numPr>
        <w:autoSpaceDE w:val="0"/>
        <w:autoSpaceDN w:val="0"/>
        <w:adjustRightInd w:val="0"/>
        <w:jc w:val="both"/>
        <w:rPr>
          <w:rFonts w:cs="Arial"/>
        </w:rPr>
      </w:pPr>
      <w:r w:rsidRPr="00EA7AEA">
        <w:rPr>
          <w:rFonts w:cs="Arial"/>
        </w:rPr>
        <w:t>New Service Requirement - where there is a plan to place a new service contract (a service not previously provided)</w:t>
      </w:r>
    </w:p>
    <w:p w:rsidR="00CF7778" w:rsidRPr="00EA7AEA" w:rsidRDefault="00CF7778" w:rsidP="00264B71">
      <w:pPr>
        <w:pStyle w:val="ListParagraph"/>
        <w:numPr>
          <w:ilvl w:val="0"/>
          <w:numId w:val="48"/>
        </w:numPr>
        <w:autoSpaceDE w:val="0"/>
        <w:autoSpaceDN w:val="0"/>
        <w:adjustRightInd w:val="0"/>
        <w:jc w:val="both"/>
        <w:rPr>
          <w:rFonts w:cs="Arial"/>
        </w:rPr>
      </w:pPr>
      <w:r w:rsidRPr="00EA7AEA">
        <w:rPr>
          <w:rFonts w:cs="Arial"/>
        </w:rPr>
        <w:t>Contract Expiration - where an existing contract is coming to the end of its agreed term, or can reasonably be considered to be likely to come to an end for other reasons (for example a provider notifying commissioners that it is considering withdrawing provision)</w:t>
      </w:r>
    </w:p>
    <w:p w:rsidR="00CF7778" w:rsidRPr="00EA7AEA" w:rsidRDefault="00CF7778" w:rsidP="00264B71">
      <w:pPr>
        <w:pStyle w:val="ListParagraph"/>
        <w:numPr>
          <w:ilvl w:val="0"/>
          <w:numId w:val="48"/>
        </w:numPr>
        <w:autoSpaceDE w:val="0"/>
        <w:autoSpaceDN w:val="0"/>
        <w:adjustRightInd w:val="0"/>
        <w:jc w:val="both"/>
        <w:rPr>
          <w:rFonts w:cs="Arial"/>
        </w:rPr>
      </w:pPr>
      <w:r w:rsidRPr="00EA7AEA">
        <w:rPr>
          <w:rFonts w:cs="Arial"/>
        </w:rPr>
        <w:t>Failure to Achieve Quality Standards - where an existing provider is failing to achieve (or make sufficient progress on achieving) local or national quality standards or targets, or is not meeting the reasonable expectations of service users</w:t>
      </w:r>
    </w:p>
    <w:p w:rsidR="00CF7778" w:rsidRPr="00EA7AEA" w:rsidRDefault="00CF7778" w:rsidP="00264B71">
      <w:pPr>
        <w:pStyle w:val="ListParagraph"/>
        <w:numPr>
          <w:ilvl w:val="0"/>
          <w:numId w:val="48"/>
        </w:numPr>
        <w:autoSpaceDE w:val="0"/>
        <w:autoSpaceDN w:val="0"/>
        <w:adjustRightInd w:val="0"/>
        <w:jc w:val="both"/>
        <w:rPr>
          <w:rFonts w:cs="Arial"/>
        </w:rPr>
      </w:pPr>
      <w:r w:rsidRPr="00EA7AEA">
        <w:rPr>
          <w:rFonts w:cs="Arial"/>
        </w:rPr>
        <w:t xml:space="preserve">Value for Money - where an existing service offers poor value for money when compared to other relevant local or national benchmarking information </w:t>
      </w:r>
    </w:p>
    <w:p w:rsidR="00CF7778" w:rsidRPr="00EA7AEA" w:rsidRDefault="00CF7778" w:rsidP="00264B71">
      <w:pPr>
        <w:pStyle w:val="ListParagraph"/>
        <w:numPr>
          <w:ilvl w:val="0"/>
          <w:numId w:val="48"/>
        </w:numPr>
        <w:autoSpaceDE w:val="0"/>
        <w:autoSpaceDN w:val="0"/>
        <w:adjustRightInd w:val="0"/>
        <w:jc w:val="both"/>
        <w:rPr>
          <w:rFonts w:cs="Arial"/>
        </w:rPr>
      </w:pPr>
      <w:r w:rsidRPr="00EA7AEA">
        <w:rPr>
          <w:rFonts w:cs="Arial"/>
        </w:rPr>
        <w:t>Service Redesign - where a new type of service differs significantly from that currently in place (in terms of service model, volumes or types of activity, or financial value) such that a new range of service providers or partnerships might offer advantages in terms of patient care or cost compared to that currently in place</w:t>
      </w:r>
    </w:p>
    <w:p w:rsidR="00CF7778" w:rsidRPr="00EA7AEA" w:rsidRDefault="00CF7778" w:rsidP="00CF7778">
      <w:pPr>
        <w:pStyle w:val="ListParagraph"/>
        <w:autoSpaceDE w:val="0"/>
        <w:autoSpaceDN w:val="0"/>
        <w:adjustRightInd w:val="0"/>
        <w:jc w:val="both"/>
        <w:rPr>
          <w:rFonts w:cs="Arial"/>
        </w:rPr>
      </w:pPr>
    </w:p>
    <w:p w:rsidR="005120F5" w:rsidRPr="00EA7AEA" w:rsidRDefault="005120F5" w:rsidP="00CF7778">
      <w:pPr>
        <w:pStyle w:val="ListParagraph"/>
        <w:autoSpaceDE w:val="0"/>
        <w:autoSpaceDN w:val="0"/>
        <w:adjustRightInd w:val="0"/>
        <w:jc w:val="both"/>
        <w:rPr>
          <w:rFonts w:cs="Arial"/>
        </w:rPr>
      </w:pPr>
    </w:p>
    <w:p w:rsidR="00CF7778" w:rsidRPr="00EA7AEA" w:rsidRDefault="00A94452" w:rsidP="00264B71">
      <w:pPr>
        <w:pStyle w:val="ListParagraph"/>
        <w:numPr>
          <w:ilvl w:val="0"/>
          <w:numId w:val="51"/>
        </w:numPr>
        <w:autoSpaceDE w:val="0"/>
        <w:autoSpaceDN w:val="0"/>
        <w:adjustRightInd w:val="0"/>
        <w:ind w:hanging="720"/>
        <w:jc w:val="both"/>
        <w:rPr>
          <w:rFonts w:cs="Arial"/>
          <w:u w:val="single"/>
        </w:rPr>
      </w:pPr>
      <w:r w:rsidRPr="00EA7AEA">
        <w:rPr>
          <w:rFonts w:cs="Arial"/>
          <w:u w:val="single"/>
        </w:rPr>
        <w:t xml:space="preserve">NHS </w:t>
      </w:r>
      <w:r w:rsidR="00E2105F" w:rsidRPr="00EA7AEA">
        <w:rPr>
          <w:rFonts w:cs="Arial"/>
          <w:u w:val="single"/>
        </w:rPr>
        <w:t>G</w:t>
      </w:r>
      <w:r w:rsidRPr="00EA7AEA">
        <w:rPr>
          <w:rFonts w:cs="Arial"/>
          <w:u w:val="single"/>
        </w:rPr>
        <w:t xml:space="preserve">loucestershire </w:t>
      </w:r>
      <w:r w:rsidR="00CF7778" w:rsidRPr="00EA7AEA">
        <w:rPr>
          <w:rFonts w:cs="Arial"/>
          <w:u w:val="single"/>
        </w:rPr>
        <w:t>CCG Board Contestability Decision:</w:t>
      </w:r>
    </w:p>
    <w:p w:rsidR="00CF7778" w:rsidRPr="00EA7AEA" w:rsidRDefault="00CF7778" w:rsidP="00CF7778">
      <w:pPr>
        <w:autoSpaceDE w:val="0"/>
        <w:autoSpaceDN w:val="0"/>
        <w:adjustRightInd w:val="0"/>
        <w:jc w:val="both"/>
        <w:rPr>
          <w:rFonts w:cs="Arial"/>
        </w:rPr>
      </w:pPr>
    </w:p>
    <w:p w:rsidR="00CF7778" w:rsidRPr="00EA7AEA" w:rsidRDefault="00CF7778" w:rsidP="00CF7778">
      <w:pPr>
        <w:autoSpaceDE w:val="0"/>
        <w:autoSpaceDN w:val="0"/>
        <w:adjustRightInd w:val="0"/>
        <w:jc w:val="both"/>
        <w:rPr>
          <w:rFonts w:cs="Arial"/>
        </w:rPr>
      </w:pPr>
      <w:r w:rsidRPr="00EA7AEA">
        <w:rPr>
          <w:rFonts w:cs="Arial"/>
        </w:rPr>
        <w:t xml:space="preserve">The </w:t>
      </w:r>
      <w:r w:rsidR="00E2105F" w:rsidRPr="00EA7AEA">
        <w:rPr>
          <w:rFonts w:cs="Arial"/>
        </w:rPr>
        <w:t>G</w:t>
      </w:r>
      <w:r w:rsidRPr="00EA7AEA">
        <w:rPr>
          <w:rFonts w:cs="Arial"/>
        </w:rPr>
        <w:t>CCG In reaching a contestability decision will consider the anticipated benefit versus risk assessment which will cover, as a minimum, information in response to the following risk assessment checklist:</w:t>
      </w:r>
    </w:p>
    <w:p w:rsidR="00CF7778" w:rsidRPr="00EA7AEA" w:rsidRDefault="00CF7778" w:rsidP="00CF7778">
      <w:pPr>
        <w:autoSpaceDE w:val="0"/>
        <w:autoSpaceDN w:val="0"/>
        <w:adjustRightInd w:val="0"/>
        <w:jc w:val="both"/>
        <w:rPr>
          <w:rFonts w:cs="Arial"/>
        </w:rPr>
      </w:pPr>
    </w:p>
    <w:p w:rsidR="00CF7778" w:rsidRPr="00EA7AEA" w:rsidRDefault="00CF7778" w:rsidP="00264B71">
      <w:pPr>
        <w:pStyle w:val="ListParagraph"/>
        <w:numPr>
          <w:ilvl w:val="0"/>
          <w:numId w:val="53"/>
        </w:numPr>
        <w:autoSpaceDE w:val="0"/>
        <w:autoSpaceDN w:val="0"/>
        <w:adjustRightInd w:val="0"/>
        <w:jc w:val="both"/>
        <w:rPr>
          <w:rFonts w:cs="Arial"/>
        </w:rPr>
      </w:pPr>
      <w:r w:rsidRPr="00EA7AEA">
        <w:rPr>
          <w:rFonts w:cs="Arial"/>
        </w:rPr>
        <w:t>Has the Commissioner clearly identified the reason(s) for contesting the service (see triggers for contesting a service above)?</w:t>
      </w:r>
    </w:p>
    <w:p w:rsidR="00CF7778" w:rsidRPr="00EA7AEA" w:rsidRDefault="00CF7778" w:rsidP="00CF7778">
      <w:pPr>
        <w:jc w:val="both"/>
        <w:rPr>
          <w:rFonts w:cs="Arial"/>
        </w:rPr>
      </w:pPr>
    </w:p>
    <w:p w:rsidR="00CF7778" w:rsidRPr="00EA7AEA" w:rsidRDefault="00CF7778" w:rsidP="00264B71">
      <w:pPr>
        <w:pStyle w:val="ListParagraph"/>
        <w:numPr>
          <w:ilvl w:val="0"/>
          <w:numId w:val="53"/>
        </w:numPr>
        <w:autoSpaceDE w:val="0"/>
        <w:autoSpaceDN w:val="0"/>
        <w:adjustRightInd w:val="0"/>
        <w:jc w:val="both"/>
        <w:rPr>
          <w:rFonts w:cs="Arial"/>
        </w:rPr>
      </w:pPr>
      <w:r w:rsidRPr="00EA7AEA">
        <w:rPr>
          <w:rFonts w:cs="Arial"/>
        </w:rPr>
        <w:t>Is the Commissioner clear on the service specification and quality standards that are required in the contested service(s) (or is at least clear on the specific benefits that will be achieved by procuring a new service, if the detailed specification is to be developed at a later stage)?</w:t>
      </w:r>
    </w:p>
    <w:p w:rsidR="00CF7778" w:rsidRPr="00EA7AEA" w:rsidRDefault="00CF7778" w:rsidP="00CF7778">
      <w:pPr>
        <w:autoSpaceDE w:val="0"/>
        <w:autoSpaceDN w:val="0"/>
        <w:adjustRightInd w:val="0"/>
        <w:jc w:val="both"/>
        <w:rPr>
          <w:rFonts w:cs="Arial"/>
        </w:rPr>
      </w:pPr>
    </w:p>
    <w:p w:rsidR="00CF7778" w:rsidRPr="00EA7AEA" w:rsidRDefault="00CF7778" w:rsidP="00264B71">
      <w:pPr>
        <w:pStyle w:val="ListParagraph"/>
        <w:numPr>
          <w:ilvl w:val="0"/>
          <w:numId w:val="53"/>
        </w:numPr>
        <w:autoSpaceDE w:val="0"/>
        <w:autoSpaceDN w:val="0"/>
        <w:adjustRightInd w:val="0"/>
        <w:jc w:val="both"/>
        <w:rPr>
          <w:rFonts w:cs="Arial"/>
        </w:rPr>
      </w:pPr>
      <w:r w:rsidRPr="00EA7AEA">
        <w:rPr>
          <w:rFonts w:cs="Arial"/>
        </w:rPr>
        <w:t>Has the Commissioner identified any linked services which are highly likely to become clinically, operationally or financially unviable for Gloucestershire residents if not contested in parallel with the main service(s) under consideration?</w:t>
      </w:r>
    </w:p>
    <w:p w:rsidR="00CF7778" w:rsidRPr="00EA7AEA" w:rsidRDefault="00CF7778" w:rsidP="00CF7778">
      <w:pPr>
        <w:autoSpaceDE w:val="0"/>
        <w:autoSpaceDN w:val="0"/>
        <w:adjustRightInd w:val="0"/>
        <w:jc w:val="both"/>
        <w:rPr>
          <w:rFonts w:cs="Arial"/>
        </w:rPr>
      </w:pPr>
    </w:p>
    <w:p w:rsidR="00CF7778" w:rsidRPr="00EA7AEA" w:rsidRDefault="00CF7778" w:rsidP="00264B71">
      <w:pPr>
        <w:pStyle w:val="ListParagraph"/>
        <w:numPr>
          <w:ilvl w:val="0"/>
          <w:numId w:val="53"/>
        </w:numPr>
        <w:autoSpaceDE w:val="0"/>
        <w:autoSpaceDN w:val="0"/>
        <w:adjustRightInd w:val="0"/>
        <w:jc w:val="both"/>
        <w:rPr>
          <w:rFonts w:cs="Arial"/>
        </w:rPr>
      </w:pPr>
      <w:r w:rsidRPr="00EA7AEA">
        <w:rPr>
          <w:rFonts w:cs="Arial"/>
        </w:rPr>
        <w:t>Has the Commissioner considered the timescales and costs involved in contesting a service, such that they are able to fairly represent the benefits that could be achieved over and above an approach working with the existing provider(s)?</w:t>
      </w:r>
    </w:p>
    <w:p w:rsidR="00CF7778" w:rsidRPr="00EA7AEA" w:rsidRDefault="00CF7778" w:rsidP="00CF7778">
      <w:pPr>
        <w:autoSpaceDE w:val="0"/>
        <w:autoSpaceDN w:val="0"/>
        <w:adjustRightInd w:val="0"/>
        <w:jc w:val="both"/>
        <w:rPr>
          <w:rFonts w:cs="Arial"/>
        </w:rPr>
      </w:pPr>
    </w:p>
    <w:p w:rsidR="00CF7778" w:rsidRPr="00EA7AEA" w:rsidRDefault="00CF7778" w:rsidP="00264B71">
      <w:pPr>
        <w:pStyle w:val="ListParagraph"/>
        <w:numPr>
          <w:ilvl w:val="0"/>
          <w:numId w:val="53"/>
        </w:numPr>
        <w:autoSpaceDE w:val="0"/>
        <w:autoSpaceDN w:val="0"/>
        <w:adjustRightInd w:val="0"/>
        <w:jc w:val="both"/>
        <w:rPr>
          <w:rFonts w:cs="Arial"/>
        </w:rPr>
      </w:pPr>
      <w:r w:rsidRPr="00EA7AEA">
        <w:rPr>
          <w:rFonts w:cs="Arial"/>
        </w:rPr>
        <w:t>Is there evidence of a sufficient market of providers, or potential providers, to minimise the risk of significant gaps in the service(s) concerned and to ensure that patient choice is maintained or expanded?</w:t>
      </w:r>
    </w:p>
    <w:p w:rsidR="00CF7778" w:rsidRPr="00EA7AEA" w:rsidRDefault="00CF7778" w:rsidP="00CF7778">
      <w:pPr>
        <w:autoSpaceDE w:val="0"/>
        <w:autoSpaceDN w:val="0"/>
        <w:adjustRightInd w:val="0"/>
        <w:jc w:val="both"/>
        <w:rPr>
          <w:rFonts w:cs="Arial"/>
        </w:rPr>
      </w:pPr>
    </w:p>
    <w:p w:rsidR="00CF7778" w:rsidRPr="00EA7AEA" w:rsidRDefault="00CF7778" w:rsidP="00264B71">
      <w:pPr>
        <w:pStyle w:val="ListParagraph"/>
        <w:numPr>
          <w:ilvl w:val="0"/>
          <w:numId w:val="53"/>
        </w:numPr>
        <w:autoSpaceDE w:val="0"/>
        <w:autoSpaceDN w:val="0"/>
        <w:adjustRightInd w:val="0"/>
        <w:jc w:val="both"/>
        <w:rPr>
          <w:rFonts w:cs="Arial"/>
        </w:rPr>
      </w:pPr>
      <w:r w:rsidRPr="00EA7AEA">
        <w:rPr>
          <w:rFonts w:cs="Arial"/>
        </w:rPr>
        <w:t>Have current service costs been benchmarked, and an assessment of current and future demand and capacity been undertaken, such that the risk of increased costs is minimised and there is explicit information on affordability as part of the tendering decision?</w:t>
      </w:r>
    </w:p>
    <w:p w:rsidR="00CF7778" w:rsidRPr="00EA7AEA" w:rsidRDefault="00CF7778" w:rsidP="00CF7778">
      <w:pPr>
        <w:autoSpaceDE w:val="0"/>
        <w:autoSpaceDN w:val="0"/>
        <w:adjustRightInd w:val="0"/>
        <w:jc w:val="both"/>
        <w:rPr>
          <w:rFonts w:cs="Arial"/>
        </w:rPr>
      </w:pPr>
    </w:p>
    <w:p w:rsidR="00CF7778" w:rsidRPr="00EA7AEA" w:rsidRDefault="00CF7778" w:rsidP="00264B71">
      <w:pPr>
        <w:pStyle w:val="ListParagraph"/>
        <w:numPr>
          <w:ilvl w:val="0"/>
          <w:numId w:val="53"/>
        </w:numPr>
        <w:autoSpaceDE w:val="0"/>
        <w:autoSpaceDN w:val="0"/>
        <w:adjustRightInd w:val="0"/>
        <w:jc w:val="both"/>
        <w:rPr>
          <w:rFonts w:cs="Arial"/>
        </w:rPr>
      </w:pPr>
      <w:r w:rsidRPr="00EA7AEA">
        <w:rPr>
          <w:rFonts w:cs="Arial"/>
        </w:rPr>
        <w:t xml:space="preserve">Has the proposer ensured that other key co-commissioners have been informed of the </w:t>
      </w:r>
      <w:r w:rsidR="00E2105F" w:rsidRPr="00EA7AEA">
        <w:rPr>
          <w:rFonts w:cs="Arial"/>
        </w:rPr>
        <w:t>GCCG’s</w:t>
      </w:r>
      <w:r w:rsidRPr="00EA7AEA">
        <w:rPr>
          <w:rFonts w:cs="Arial"/>
        </w:rPr>
        <w:t xml:space="preserve"> proposals, and that explicit agreement is being secured where a service is jointly commissioned for Gloucestershire residents</w:t>
      </w:r>
    </w:p>
    <w:p w:rsidR="00CF7778" w:rsidRPr="00EA7AEA" w:rsidRDefault="00CF7778" w:rsidP="00CF7778">
      <w:pPr>
        <w:jc w:val="both"/>
        <w:rPr>
          <w:rFonts w:cs="Arial"/>
        </w:rPr>
      </w:pPr>
    </w:p>
    <w:p w:rsidR="00CF7778" w:rsidRPr="00EA7AEA" w:rsidRDefault="00CF7778" w:rsidP="00CF7778">
      <w:pPr>
        <w:autoSpaceDE w:val="0"/>
        <w:autoSpaceDN w:val="0"/>
        <w:adjustRightInd w:val="0"/>
        <w:jc w:val="both"/>
        <w:rPr>
          <w:rFonts w:cs="Arial"/>
        </w:rPr>
      </w:pPr>
      <w:r w:rsidRPr="00EA7AEA">
        <w:rPr>
          <w:rFonts w:cs="Arial"/>
        </w:rPr>
        <w:t xml:space="preserve">Where a decision is taken by the </w:t>
      </w:r>
      <w:r w:rsidR="00E2105F" w:rsidRPr="00EA7AEA">
        <w:rPr>
          <w:rFonts w:cs="Arial"/>
        </w:rPr>
        <w:t>G</w:t>
      </w:r>
      <w:r w:rsidRPr="00EA7AEA">
        <w:rPr>
          <w:rFonts w:cs="Arial"/>
        </w:rPr>
        <w:t>CCG to contest a service, consideration should also be given to the means by which the service might best be contested. There are two broad options:</w:t>
      </w:r>
    </w:p>
    <w:p w:rsidR="00CF7778" w:rsidRPr="00EA7AEA" w:rsidRDefault="00CF7778" w:rsidP="00CF7778">
      <w:pPr>
        <w:autoSpaceDE w:val="0"/>
        <w:autoSpaceDN w:val="0"/>
        <w:adjustRightInd w:val="0"/>
        <w:jc w:val="both"/>
        <w:rPr>
          <w:rFonts w:cs="Arial"/>
        </w:rPr>
      </w:pPr>
    </w:p>
    <w:p w:rsidR="00CF7778" w:rsidRPr="00EA7AEA" w:rsidRDefault="00F65049" w:rsidP="00F65049">
      <w:pPr>
        <w:autoSpaceDE w:val="0"/>
        <w:autoSpaceDN w:val="0"/>
        <w:adjustRightInd w:val="0"/>
        <w:ind w:left="720" w:hanging="720"/>
        <w:jc w:val="both"/>
        <w:rPr>
          <w:rFonts w:cs="Arial"/>
        </w:rPr>
      </w:pPr>
      <w:r w:rsidRPr="00EA7AEA">
        <w:rPr>
          <w:rFonts w:cs="Arial"/>
        </w:rPr>
        <w:t>Opt 1.</w:t>
      </w:r>
      <w:r w:rsidRPr="00EA7AEA">
        <w:rPr>
          <w:rFonts w:cs="Arial"/>
        </w:rPr>
        <w:tab/>
      </w:r>
      <w:r w:rsidR="00CF7778" w:rsidRPr="00EA7AEA">
        <w:rPr>
          <w:rFonts w:cs="Arial"/>
        </w:rPr>
        <w:t xml:space="preserve">A traditional tendering process, resulting in the award of a time limited contract to a single provider, partnership of providers or consortia with lead bidder / subcontractor arrangements. </w:t>
      </w:r>
    </w:p>
    <w:p w:rsidR="00CF7778" w:rsidRPr="00EA7AEA" w:rsidRDefault="00CF7778" w:rsidP="00CF7778">
      <w:pPr>
        <w:pStyle w:val="ListParagraph"/>
        <w:autoSpaceDE w:val="0"/>
        <w:autoSpaceDN w:val="0"/>
        <w:adjustRightInd w:val="0"/>
        <w:jc w:val="both"/>
        <w:rPr>
          <w:rFonts w:cs="Arial"/>
        </w:rPr>
      </w:pPr>
    </w:p>
    <w:p w:rsidR="00CF7778" w:rsidRPr="00EA7AEA" w:rsidRDefault="00CF7778" w:rsidP="00CF7778">
      <w:pPr>
        <w:pStyle w:val="ListParagraph"/>
        <w:autoSpaceDE w:val="0"/>
        <w:autoSpaceDN w:val="0"/>
        <w:adjustRightInd w:val="0"/>
        <w:jc w:val="both"/>
        <w:rPr>
          <w:rFonts w:cs="Arial"/>
        </w:rPr>
      </w:pPr>
      <w:r w:rsidRPr="00EA7AEA">
        <w:rPr>
          <w:rFonts w:cs="Arial"/>
        </w:rPr>
        <w:t>Procurement staff will follow one of a range of EU mandated procurement processes.   This approach may be mandated for high value contracts or where there are significant non-clinical components of the service. The results of any tender process will be published on the Supply2Health procurement portal</w:t>
      </w:r>
      <w:r w:rsidR="003234E3" w:rsidRPr="00EA7AEA">
        <w:rPr>
          <w:rFonts w:cs="Arial"/>
        </w:rPr>
        <w:t xml:space="preserve"> and the GCCG web site</w:t>
      </w:r>
      <w:r w:rsidRPr="00EA7AEA">
        <w:rPr>
          <w:rFonts w:cs="Arial"/>
        </w:rPr>
        <w:t>.</w:t>
      </w:r>
    </w:p>
    <w:p w:rsidR="00CF7778" w:rsidRPr="00EA7AEA" w:rsidRDefault="00CF7778" w:rsidP="00CF7778">
      <w:pPr>
        <w:autoSpaceDE w:val="0"/>
        <w:autoSpaceDN w:val="0"/>
        <w:adjustRightInd w:val="0"/>
        <w:jc w:val="both"/>
        <w:rPr>
          <w:rFonts w:cs="Arial"/>
        </w:rPr>
      </w:pPr>
    </w:p>
    <w:p w:rsidR="00CF7778" w:rsidRPr="00EA7AEA" w:rsidRDefault="00F65049" w:rsidP="00CF7778">
      <w:pPr>
        <w:autoSpaceDE w:val="0"/>
        <w:autoSpaceDN w:val="0"/>
        <w:adjustRightInd w:val="0"/>
        <w:ind w:left="720" w:hanging="720"/>
        <w:jc w:val="both"/>
        <w:rPr>
          <w:rFonts w:cs="Arial"/>
        </w:rPr>
      </w:pPr>
      <w:r w:rsidRPr="00EA7AEA">
        <w:rPr>
          <w:rFonts w:cs="Arial"/>
        </w:rPr>
        <w:t xml:space="preserve">Opt </w:t>
      </w:r>
      <w:r w:rsidR="00CF7778" w:rsidRPr="00EA7AEA">
        <w:rPr>
          <w:rFonts w:cs="Arial"/>
        </w:rPr>
        <w:t xml:space="preserve">2. </w:t>
      </w:r>
      <w:r w:rsidR="00CF7778" w:rsidRPr="00EA7AEA">
        <w:rPr>
          <w:rFonts w:cs="Arial"/>
        </w:rPr>
        <w:tab/>
        <w:t>Use of the ‘Any Qualified Provider’ procurement process which allows for the contested service to be offered to, and provided by, a range of providers, as long as they can demonstrate they fulfil key requirements. These include:</w:t>
      </w:r>
    </w:p>
    <w:p w:rsidR="00CF7778" w:rsidRPr="00EA7AEA" w:rsidRDefault="00CF7778" w:rsidP="00CF7778">
      <w:pPr>
        <w:jc w:val="both"/>
        <w:rPr>
          <w:rFonts w:cs="Arial"/>
        </w:rPr>
      </w:pPr>
    </w:p>
    <w:p w:rsidR="00CF7778" w:rsidRPr="00EA7AEA" w:rsidRDefault="00CF7778" w:rsidP="00264B71">
      <w:pPr>
        <w:pStyle w:val="ListParagraph"/>
        <w:numPr>
          <w:ilvl w:val="0"/>
          <w:numId w:val="52"/>
        </w:numPr>
        <w:autoSpaceDE w:val="0"/>
        <w:autoSpaceDN w:val="0"/>
        <w:adjustRightInd w:val="0"/>
        <w:ind w:hanging="731"/>
        <w:jc w:val="both"/>
        <w:rPr>
          <w:rFonts w:cs="Arial"/>
        </w:rPr>
      </w:pPr>
      <w:r w:rsidRPr="00EA7AEA">
        <w:rPr>
          <w:rFonts w:cs="Arial"/>
        </w:rPr>
        <w:t>Fulfilling any obligatory registration requirement</w:t>
      </w:r>
    </w:p>
    <w:p w:rsidR="00CF7778" w:rsidRPr="00EA7AEA" w:rsidRDefault="00CF7778" w:rsidP="00264B71">
      <w:pPr>
        <w:pStyle w:val="ListParagraph"/>
        <w:numPr>
          <w:ilvl w:val="0"/>
          <w:numId w:val="49"/>
        </w:numPr>
        <w:autoSpaceDE w:val="0"/>
        <w:autoSpaceDN w:val="0"/>
        <w:adjustRightInd w:val="0"/>
        <w:ind w:left="1418" w:hanging="709"/>
        <w:jc w:val="both"/>
        <w:rPr>
          <w:rFonts w:cs="Arial"/>
        </w:rPr>
      </w:pPr>
      <w:r w:rsidRPr="00EA7AEA">
        <w:rPr>
          <w:rFonts w:cs="Arial"/>
        </w:rPr>
        <w:t xml:space="preserve">Ability to meet the </w:t>
      </w:r>
      <w:r w:rsidR="00E2105F" w:rsidRPr="00EA7AEA">
        <w:rPr>
          <w:rFonts w:cs="Arial"/>
        </w:rPr>
        <w:t>G</w:t>
      </w:r>
      <w:r w:rsidRPr="00EA7AEA">
        <w:rPr>
          <w:rFonts w:cs="Arial"/>
        </w:rPr>
        <w:t>CCG’s service specification in full</w:t>
      </w:r>
    </w:p>
    <w:p w:rsidR="00CF7778" w:rsidRPr="00EA7AEA" w:rsidRDefault="00CF7778" w:rsidP="00264B71">
      <w:pPr>
        <w:pStyle w:val="ListParagraph"/>
        <w:numPr>
          <w:ilvl w:val="0"/>
          <w:numId w:val="49"/>
        </w:numPr>
        <w:autoSpaceDE w:val="0"/>
        <w:autoSpaceDN w:val="0"/>
        <w:adjustRightInd w:val="0"/>
        <w:ind w:left="1418" w:hanging="709"/>
        <w:jc w:val="both"/>
        <w:rPr>
          <w:rFonts w:cs="Arial"/>
        </w:rPr>
      </w:pPr>
      <w:r w:rsidRPr="00EA7AEA">
        <w:rPr>
          <w:rFonts w:cs="Arial"/>
        </w:rPr>
        <w:t xml:space="preserve">Accepting the national or local tariff price (as applicable) as specified by the </w:t>
      </w:r>
      <w:r w:rsidR="004E0086" w:rsidRPr="00EA7AEA">
        <w:rPr>
          <w:rFonts w:cs="Arial"/>
        </w:rPr>
        <w:t>G</w:t>
      </w:r>
      <w:r w:rsidRPr="00EA7AEA">
        <w:rPr>
          <w:rFonts w:cs="Arial"/>
        </w:rPr>
        <w:t>CCG</w:t>
      </w:r>
    </w:p>
    <w:p w:rsidR="00CF7778" w:rsidRPr="00EA7AEA" w:rsidRDefault="00CF7778" w:rsidP="00264B71">
      <w:pPr>
        <w:pStyle w:val="ListParagraph"/>
        <w:numPr>
          <w:ilvl w:val="0"/>
          <w:numId w:val="49"/>
        </w:numPr>
        <w:autoSpaceDE w:val="0"/>
        <w:autoSpaceDN w:val="0"/>
        <w:adjustRightInd w:val="0"/>
        <w:ind w:left="1418" w:hanging="709"/>
        <w:jc w:val="both"/>
        <w:rPr>
          <w:rFonts w:cs="Arial"/>
        </w:rPr>
      </w:pPr>
      <w:r w:rsidRPr="00EA7AEA">
        <w:rPr>
          <w:rFonts w:cs="Arial"/>
        </w:rPr>
        <w:t xml:space="preserve">Accepting a standard DH contract with the </w:t>
      </w:r>
      <w:r w:rsidR="00E2105F" w:rsidRPr="00EA7AEA">
        <w:rPr>
          <w:rFonts w:cs="Arial"/>
        </w:rPr>
        <w:t>G</w:t>
      </w:r>
      <w:r w:rsidRPr="00EA7AEA">
        <w:rPr>
          <w:rFonts w:cs="Arial"/>
        </w:rPr>
        <w:t xml:space="preserve">CCG, without any guarantees of volumes of activity or levels of funding.  </w:t>
      </w:r>
    </w:p>
    <w:p w:rsidR="00CF7778" w:rsidRPr="00EA7AEA" w:rsidRDefault="00CF7778" w:rsidP="00264B71">
      <w:pPr>
        <w:pStyle w:val="ListParagraph"/>
        <w:numPr>
          <w:ilvl w:val="0"/>
          <w:numId w:val="49"/>
        </w:numPr>
        <w:autoSpaceDE w:val="0"/>
        <w:autoSpaceDN w:val="0"/>
        <w:adjustRightInd w:val="0"/>
        <w:ind w:left="1418" w:hanging="709"/>
        <w:jc w:val="both"/>
        <w:rPr>
          <w:rFonts w:cs="Arial"/>
        </w:rPr>
      </w:pPr>
      <w:r w:rsidRPr="00EA7AEA">
        <w:rPr>
          <w:rFonts w:cs="Arial"/>
        </w:rPr>
        <w:t>Ensuring potential conflicts of interest are acknowledged and minimised (for example where a referral is made into a service run or associated with the original referrer, and who may therefore gain financially from that referral)</w:t>
      </w:r>
    </w:p>
    <w:p w:rsidR="00CF7778" w:rsidRPr="00EA7AEA" w:rsidRDefault="00CF7778" w:rsidP="00264B71">
      <w:pPr>
        <w:pStyle w:val="ListParagraph"/>
        <w:numPr>
          <w:ilvl w:val="0"/>
          <w:numId w:val="49"/>
        </w:numPr>
        <w:autoSpaceDE w:val="0"/>
        <w:autoSpaceDN w:val="0"/>
        <w:adjustRightInd w:val="0"/>
        <w:ind w:left="1418" w:hanging="709"/>
        <w:jc w:val="both"/>
        <w:rPr>
          <w:rFonts w:cs="Arial"/>
        </w:rPr>
      </w:pPr>
      <w:r w:rsidRPr="00EA7AEA">
        <w:rPr>
          <w:rFonts w:cs="Arial"/>
        </w:rPr>
        <w:t xml:space="preserve">Ensuring adequate choice is provided on treatment options, and in any onward referral to another commissioned service </w:t>
      </w:r>
    </w:p>
    <w:p w:rsidR="00CF7778" w:rsidRPr="00EA7AEA" w:rsidRDefault="00CF7778" w:rsidP="00264B71">
      <w:pPr>
        <w:pStyle w:val="ListParagraph"/>
        <w:numPr>
          <w:ilvl w:val="0"/>
          <w:numId w:val="49"/>
        </w:numPr>
        <w:autoSpaceDE w:val="0"/>
        <w:autoSpaceDN w:val="0"/>
        <w:adjustRightInd w:val="0"/>
        <w:ind w:left="1418" w:hanging="709"/>
        <w:jc w:val="both"/>
        <w:rPr>
          <w:rFonts w:cs="Arial"/>
        </w:rPr>
      </w:pPr>
      <w:r w:rsidRPr="00EA7AEA">
        <w:rPr>
          <w:rFonts w:cs="Arial"/>
        </w:rPr>
        <w:t>Providing a service that is sufficiently flexible to respond to and meet individual needs</w:t>
      </w:r>
    </w:p>
    <w:p w:rsidR="00CF7778" w:rsidRPr="00EA7AEA" w:rsidRDefault="00CF7778" w:rsidP="00CF7778">
      <w:pPr>
        <w:autoSpaceDE w:val="0"/>
        <w:autoSpaceDN w:val="0"/>
        <w:adjustRightInd w:val="0"/>
        <w:jc w:val="both"/>
        <w:rPr>
          <w:rFonts w:cs="Arial"/>
        </w:rPr>
      </w:pPr>
    </w:p>
    <w:p w:rsidR="00CF7778" w:rsidRPr="00EA7AEA" w:rsidRDefault="00CF7778" w:rsidP="00CF7778">
      <w:pPr>
        <w:autoSpaceDE w:val="0"/>
        <w:autoSpaceDN w:val="0"/>
        <w:adjustRightInd w:val="0"/>
        <w:ind w:left="709"/>
        <w:jc w:val="both"/>
        <w:rPr>
          <w:rFonts w:cs="Arial"/>
        </w:rPr>
      </w:pPr>
      <w:r w:rsidRPr="00EA7AEA">
        <w:rPr>
          <w:rFonts w:cs="Arial"/>
        </w:rPr>
        <w:t xml:space="preserve">An AQP model </w:t>
      </w:r>
      <w:r w:rsidRPr="00EA7AEA">
        <w:rPr>
          <w:rFonts w:cs="Arial"/>
          <w:u w:val="single"/>
        </w:rPr>
        <w:t>may</w:t>
      </w:r>
      <w:r w:rsidRPr="00EA7AEA">
        <w:rPr>
          <w:rFonts w:cs="Arial"/>
        </w:rPr>
        <w:t xml:space="preserve"> be more appropriate to higher volume services with less complex interfaces with other services.</w:t>
      </w:r>
    </w:p>
    <w:p w:rsidR="00CF7778" w:rsidRPr="00EA7AEA" w:rsidRDefault="00CF7778" w:rsidP="00CF7778">
      <w:pPr>
        <w:jc w:val="both"/>
        <w:rPr>
          <w:rFonts w:cs="Arial"/>
        </w:rPr>
      </w:pPr>
    </w:p>
    <w:p w:rsidR="00CF7778" w:rsidRPr="00EA7AEA" w:rsidRDefault="00CF7778" w:rsidP="00CF7778">
      <w:pPr>
        <w:jc w:val="both"/>
        <w:rPr>
          <w:rFonts w:cs="Arial"/>
        </w:rPr>
      </w:pPr>
      <w:r w:rsidRPr="00EA7AEA">
        <w:rPr>
          <w:rFonts w:cs="Arial"/>
        </w:rPr>
        <w:t>All procurement processes (including AQP) will be advertised on the Supply2Health web portal</w:t>
      </w:r>
      <w:r w:rsidR="003234E3" w:rsidRPr="00EA7AEA">
        <w:rPr>
          <w:rFonts w:cs="Arial"/>
        </w:rPr>
        <w:t xml:space="preserve"> and the GCCG web site</w:t>
      </w:r>
      <w:r w:rsidRPr="00EA7AEA">
        <w:rPr>
          <w:rFonts w:cs="Arial"/>
        </w:rPr>
        <w:t>.</w:t>
      </w:r>
    </w:p>
    <w:p w:rsidR="00FC5081" w:rsidRPr="00EA7AEA" w:rsidRDefault="00FC5081" w:rsidP="00FC5081">
      <w:pPr>
        <w:ind w:left="720"/>
        <w:jc w:val="both"/>
        <w:rPr>
          <w:rFonts w:cs="Arial"/>
        </w:rPr>
      </w:pPr>
    </w:p>
    <w:p w:rsidR="00FC5081" w:rsidRPr="00EA7AEA" w:rsidRDefault="00FC5081" w:rsidP="00FC5081">
      <w:pPr>
        <w:ind w:left="720"/>
        <w:jc w:val="both"/>
        <w:rPr>
          <w:rFonts w:cs="Arial"/>
        </w:rPr>
      </w:pPr>
    </w:p>
    <w:p w:rsidR="00FC5081" w:rsidRPr="00EA7AEA" w:rsidRDefault="007A32BA" w:rsidP="00264B71">
      <w:pPr>
        <w:pStyle w:val="ListParagraph"/>
        <w:numPr>
          <w:ilvl w:val="0"/>
          <w:numId w:val="51"/>
        </w:numPr>
        <w:ind w:hanging="720"/>
        <w:jc w:val="both"/>
        <w:rPr>
          <w:rFonts w:cs="Arial"/>
          <w:u w:val="single"/>
        </w:rPr>
      </w:pPr>
      <w:r w:rsidRPr="00EA7AEA">
        <w:rPr>
          <w:rFonts w:cs="Arial"/>
          <w:u w:val="single"/>
        </w:rPr>
        <w:t>Decision Not to Tender:</w:t>
      </w:r>
    </w:p>
    <w:p w:rsidR="00FC5081" w:rsidRPr="00EA7AEA" w:rsidRDefault="00FC5081" w:rsidP="007A32BA">
      <w:pPr>
        <w:jc w:val="both"/>
        <w:rPr>
          <w:rFonts w:cs="Arial"/>
        </w:rPr>
      </w:pPr>
    </w:p>
    <w:p w:rsidR="007A32BA" w:rsidRPr="00EA7AEA" w:rsidRDefault="007A32BA" w:rsidP="00264B71">
      <w:pPr>
        <w:pStyle w:val="ListParagraph"/>
        <w:numPr>
          <w:ilvl w:val="0"/>
          <w:numId w:val="59"/>
        </w:numPr>
        <w:jc w:val="both"/>
        <w:rPr>
          <w:rFonts w:cs="Arial"/>
        </w:rPr>
      </w:pPr>
      <w:r w:rsidRPr="00EA7AEA">
        <w:rPr>
          <w:rFonts w:cs="Arial"/>
        </w:rPr>
        <w:t>If, after a risk assessment and consideration of the principles contained within this Framework, the GCCG determines that a competitive tender process is not required or is inappropriate, the reasons shall be recorded on the Decision Not to Tender Form (see appendix 1).</w:t>
      </w:r>
    </w:p>
    <w:p w:rsidR="007A32BA" w:rsidRPr="00EA7AEA" w:rsidRDefault="007A32BA" w:rsidP="007A32BA">
      <w:pPr>
        <w:pStyle w:val="ListParagraph"/>
        <w:ind w:left="1080"/>
        <w:jc w:val="both"/>
        <w:rPr>
          <w:rFonts w:cs="Arial"/>
        </w:rPr>
      </w:pPr>
    </w:p>
    <w:p w:rsidR="007A32BA" w:rsidRPr="00EA7AEA" w:rsidRDefault="007C5333" w:rsidP="00264B71">
      <w:pPr>
        <w:pStyle w:val="ListParagraph"/>
        <w:numPr>
          <w:ilvl w:val="0"/>
          <w:numId w:val="59"/>
        </w:numPr>
        <w:jc w:val="both"/>
        <w:rPr>
          <w:rFonts w:cs="Arial"/>
        </w:rPr>
      </w:pPr>
      <w:r w:rsidRPr="00EA7AEA">
        <w:rPr>
          <w:rFonts w:cs="Arial"/>
        </w:rPr>
        <w:t>The GCCG Board must approve any decision not to tender for new or significantly re-designed services</w:t>
      </w:r>
    </w:p>
    <w:p w:rsidR="001B7EA6" w:rsidRPr="00EA7AEA" w:rsidRDefault="001B7EA6" w:rsidP="001B7EA6">
      <w:pPr>
        <w:pStyle w:val="ListParagraph"/>
        <w:rPr>
          <w:rFonts w:cs="Arial"/>
        </w:rPr>
      </w:pPr>
    </w:p>
    <w:p w:rsidR="001B7EA6" w:rsidRPr="00EA7AEA" w:rsidRDefault="001B7EA6" w:rsidP="001B7EA6">
      <w:pPr>
        <w:pStyle w:val="ListParagraph"/>
        <w:rPr>
          <w:rFonts w:cs="Arial"/>
        </w:rPr>
      </w:pPr>
    </w:p>
    <w:p w:rsidR="001B7EA6" w:rsidRPr="00EA7AEA" w:rsidRDefault="001B7EA6" w:rsidP="001B7EA6">
      <w:pPr>
        <w:pStyle w:val="ListParagraph"/>
        <w:rPr>
          <w:rFonts w:cs="Arial"/>
        </w:rPr>
      </w:pPr>
    </w:p>
    <w:p w:rsidR="00057C99" w:rsidRPr="00EA7AEA" w:rsidRDefault="00CF7778" w:rsidP="00057C99">
      <w:pPr>
        <w:rPr>
          <w:rFonts w:cs="Arial"/>
          <w:b/>
          <w:sz w:val="28"/>
          <w:szCs w:val="28"/>
        </w:rPr>
      </w:pPr>
      <w:r w:rsidRPr="00EA7AEA">
        <w:rPr>
          <w:rFonts w:cs="Arial"/>
          <w:b/>
          <w:sz w:val="28"/>
          <w:szCs w:val="28"/>
        </w:rPr>
        <w:lastRenderedPageBreak/>
        <w:t>Part C</w:t>
      </w:r>
      <w:r w:rsidRPr="00EA7AEA">
        <w:rPr>
          <w:rFonts w:cs="Arial"/>
          <w:b/>
          <w:sz w:val="28"/>
          <w:szCs w:val="28"/>
        </w:rPr>
        <w:tab/>
      </w:r>
      <w:r w:rsidR="00057C99" w:rsidRPr="00EA7AEA">
        <w:rPr>
          <w:rFonts w:cs="Arial"/>
          <w:b/>
          <w:sz w:val="28"/>
          <w:szCs w:val="28"/>
        </w:rPr>
        <w:t xml:space="preserve">Market Management </w:t>
      </w:r>
      <w:r w:rsidR="005E2C79" w:rsidRPr="00EA7AEA">
        <w:rPr>
          <w:rFonts w:cs="Arial"/>
          <w:b/>
          <w:sz w:val="28"/>
          <w:szCs w:val="28"/>
        </w:rPr>
        <w:t>Strategy</w:t>
      </w:r>
    </w:p>
    <w:p w:rsidR="00057C99" w:rsidRPr="00EA7AEA" w:rsidRDefault="00057C99" w:rsidP="00F148A6">
      <w:pPr>
        <w:rPr>
          <w:rFonts w:cs="Arial"/>
          <w:b/>
          <w:sz w:val="28"/>
          <w:szCs w:val="28"/>
        </w:rPr>
      </w:pPr>
    </w:p>
    <w:p w:rsidR="005E2C79" w:rsidRPr="00EA7AEA" w:rsidRDefault="005E2C79" w:rsidP="00F307E3">
      <w:pPr>
        <w:ind w:left="709" w:hanging="709"/>
        <w:jc w:val="both"/>
        <w:rPr>
          <w:rFonts w:cs="Arial"/>
        </w:rPr>
      </w:pPr>
      <w:r w:rsidRPr="00EA7AEA">
        <w:rPr>
          <w:rFonts w:cs="Arial"/>
        </w:rPr>
        <w:t>1</w:t>
      </w:r>
      <w:r w:rsidRPr="00EA7AEA">
        <w:rPr>
          <w:rFonts w:cs="Arial"/>
        </w:rPr>
        <w:tab/>
      </w:r>
      <w:r w:rsidRPr="00EA7AEA">
        <w:rPr>
          <w:rFonts w:cs="Arial"/>
          <w:u w:val="single"/>
        </w:rPr>
        <w:t>Introduction</w:t>
      </w:r>
      <w:r w:rsidR="007115F7" w:rsidRPr="00EA7AEA">
        <w:rPr>
          <w:rFonts w:cs="Arial"/>
          <w:u w:val="single"/>
        </w:rPr>
        <w:t>:</w:t>
      </w:r>
    </w:p>
    <w:p w:rsidR="005E2C79" w:rsidRPr="00EA7AEA" w:rsidRDefault="005E2C79" w:rsidP="005E2C79">
      <w:pPr>
        <w:ind w:left="540"/>
        <w:jc w:val="both"/>
        <w:rPr>
          <w:rFonts w:cs="Arial"/>
        </w:rPr>
      </w:pPr>
    </w:p>
    <w:p w:rsidR="005E2C79" w:rsidRPr="00EA7AEA" w:rsidRDefault="005E2C79" w:rsidP="005E2C79">
      <w:pPr>
        <w:jc w:val="both"/>
        <w:rPr>
          <w:rFonts w:cs="Arial"/>
        </w:rPr>
      </w:pPr>
      <w:r w:rsidRPr="00EA7AEA">
        <w:rPr>
          <w:rFonts w:cs="Arial"/>
        </w:rPr>
        <w:t xml:space="preserve">This strategy sets out the way in which </w:t>
      </w:r>
      <w:r w:rsidR="00AC76AB" w:rsidRPr="00EA7AEA">
        <w:rPr>
          <w:rFonts w:cs="Arial"/>
        </w:rPr>
        <w:t xml:space="preserve">the </w:t>
      </w:r>
      <w:r w:rsidRPr="00EA7AEA">
        <w:rPr>
          <w:rFonts w:cs="Arial"/>
        </w:rPr>
        <w:t xml:space="preserve">NHS Gloucestershire </w:t>
      </w:r>
      <w:r w:rsidR="00AC76AB" w:rsidRPr="00EA7AEA">
        <w:rPr>
          <w:rFonts w:cs="Arial"/>
        </w:rPr>
        <w:t xml:space="preserve">Clinical Commissioning Group </w:t>
      </w:r>
      <w:r w:rsidR="00E2105F" w:rsidRPr="00EA7AEA">
        <w:rPr>
          <w:rFonts w:cs="Arial"/>
        </w:rPr>
        <w:t xml:space="preserve">(GCCG) </w:t>
      </w:r>
      <w:r w:rsidRPr="00EA7AEA">
        <w:rPr>
          <w:rFonts w:cs="Arial"/>
        </w:rPr>
        <w:t>will work to develop a health</w:t>
      </w:r>
      <w:r w:rsidR="00E46443" w:rsidRPr="00EA7AEA">
        <w:rPr>
          <w:rFonts w:cs="Arial"/>
        </w:rPr>
        <w:t xml:space="preserve"> </w:t>
      </w:r>
      <w:r w:rsidRPr="00EA7AEA">
        <w:rPr>
          <w:rFonts w:cs="Arial"/>
        </w:rPr>
        <w:t xml:space="preserve">care market which supports delivery of its strategic commissioning plan.  The strategy will identify the principles by which the organisation will enable the development of an appropriate provider market to meet local needs and improve patient experience. This strategy should be read in conjunction with the </w:t>
      </w:r>
      <w:r w:rsidR="00E2105F" w:rsidRPr="00EA7AEA">
        <w:rPr>
          <w:rFonts w:cs="Arial"/>
        </w:rPr>
        <w:t>G</w:t>
      </w:r>
      <w:r w:rsidR="00AC76AB" w:rsidRPr="00EA7AEA">
        <w:rPr>
          <w:rFonts w:cs="Arial"/>
        </w:rPr>
        <w:t>CCG’s P</w:t>
      </w:r>
      <w:r w:rsidRPr="00EA7AEA">
        <w:rPr>
          <w:rFonts w:cs="Arial"/>
        </w:rPr>
        <w:t xml:space="preserve">rocurement </w:t>
      </w:r>
      <w:r w:rsidR="00AC76AB" w:rsidRPr="00EA7AEA">
        <w:rPr>
          <w:rFonts w:cs="Arial"/>
        </w:rPr>
        <w:t>S</w:t>
      </w:r>
      <w:r w:rsidRPr="00EA7AEA">
        <w:rPr>
          <w:rFonts w:cs="Arial"/>
        </w:rPr>
        <w:t>trategy.</w:t>
      </w:r>
    </w:p>
    <w:p w:rsidR="005E2C79" w:rsidRPr="00EA7AEA" w:rsidRDefault="005E2C79" w:rsidP="005E2C79">
      <w:pPr>
        <w:ind w:left="360"/>
        <w:jc w:val="both"/>
        <w:rPr>
          <w:rFonts w:cs="Arial"/>
        </w:rPr>
      </w:pPr>
    </w:p>
    <w:p w:rsidR="005E2C79" w:rsidRPr="00EA7AEA" w:rsidRDefault="005E2C79" w:rsidP="005E2C79">
      <w:pPr>
        <w:jc w:val="both"/>
        <w:rPr>
          <w:rFonts w:cs="Arial"/>
        </w:rPr>
      </w:pPr>
      <w:r w:rsidRPr="00EA7AEA">
        <w:rPr>
          <w:rFonts w:cs="Arial"/>
        </w:rPr>
        <w:t>Our understanding of what constitutes an effective market management strategy in the NHS is still evolving. However, the dual functions of market analysis (understanding the current and potential market) and market development (supporting the development of innovation, quality and a diverse health</w:t>
      </w:r>
      <w:r w:rsidR="00E46443" w:rsidRPr="00EA7AEA">
        <w:rPr>
          <w:rFonts w:cs="Arial"/>
        </w:rPr>
        <w:t xml:space="preserve"> </w:t>
      </w:r>
      <w:r w:rsidRPr="00EA7AEA">
        <w:rPr>
          <w:rFonts w:cs="Arial"/>
        </w:rPr>
        <w:t>care market) are central to developing a competitive provider environment and informed decision making about procurement routes.</w:t>
      </w:r>
    </w:p>
    <w:p w:rsidR="005E2C79" w:rsidRPr="00EA7AEA" w:rsidRDefault="005E2C79" w:rsidP="005E2C79">
      <w:pPr>
        <w:ind w:left="360"/>
        <w:jc w:val="both"/>
        <w:rPr>
          <w:rFonts w:cs="Arial"/>
        </w:rPr>
      </w:pPr>
    </w:p>
    <w:p w:rsidR="005E2C79" w:rsidRPr="00EA7AEA" w:rsidRDefault="005E2C79" w:rsidP="005E2C79">
      <w:pPr>
        <w:jc w:val="both"/>
        <w:rPr>
          <w:rFonts w:cs="Arial"/>
        </w:rPr>
      </w:pPr>
      <w:r w:rsidRPr="00EA7AEA">
        <w:rPr>
          <w:rFonts w:cs="Arial"/>
        </w:rPr>
        <w:t>This strategy will support the commissioning organisation to understand the steps to good market management that enables the delivery of the strategic commissioning plan and helps describe the market development needs at each stage in the commissioning cycle.</w:t>
      </w:r>
    </w:p>
    <w:p w:rsidR="005E2C79" w:rsidRPr="00EA7AEA" w:rsidRDefault="005E2C79" w:rsidP="005E2C79">
      <w:pPr>
        <w:ind w:left="360"/>
        <w:jc w:val="both"/>
        <w:rPr>
          <w:rFonts w:cs="Arial"/>
        </w:rPr>
      </w:pPr>
    </w:p>
    <w:p w:rsidR="005E2C79" w:rsidRPr="00EA7AEA" w:rsidRDefault="005E2C79" w:rsidP="005E2C79">
      <w:pPr>
        <w:jc w:val="both"/>
        <w:rPr>
          <w:rFonts w:cs="Arial"/>
        </w:rPr>
      </w:pPr>
      <w:r w:rsidRPr="00EA7AEA">
        <w:rPr>
          <w:rFonts w:cs="Arial"/>
        </w:rPr>
        <w:t xml:space="preserve">The </w:t>
      </w:r>
      <w:r w:rsidR="00E2105F" w:rsidRPr="00EA7AEA">
        <w:rPr>
          <w:rFonts w:cs="Arial"/>
        </w:rPr>
        <w:t>G</w:t>
      </w:r>
      <w:r w:rsidR="00AC76AB" w:rsidRPr="00EA7AEA">
        <w:rPr>
          <w:rFonts w:cs="Arial"/>
        </w:rPr>
        <w:t>CCG</w:t>
      </w:r>
      <w:r w:rsidRPr="00EA7AEA">
        <w:rPr>
          <w:rFonts w:cs="Arial"/>
        </w:rPr>
        <w:t xml:space="preserve"> is keen to ensure that the benefits of a competitive environment and new providers are harnessed. The Department of Health has introduced a number of documents which set out the general framework for system management. The documents are:</w:t>
      </w:r>
    </w:p>
    <w:p w:rsidR="005E2C79" w:rsidRPr="00EA7AEA" w:rsidRDefault="005E2C79" w:rsidP="005E2C79">
      <w:pPr>
        <w:ind w:left="360"/>
        <w:jc w:val="both"/>
        <w:rPr>
          <w:rFonts w:cs="Arial"/>
        </w:rPr>
      </w:pPr>
    </w:p>
    <w:p w:rsidR="005E2C79" w:rsidRPr="00EA7AEA" w:rsidRDefault="005E2C79" w:rsidP="00264B71">
      <w:pPr>
        <w:numPr>
          <w:ilvl w:val="0"/>
          <w:numId w:val="18"/>
        </w:numPr>
        <w:jc w:val="both"/>
        <w:rPr>
          <w:rFonts w:cs="Arial"/>
        </w:rPr>
      </w:pPr>
      <w:r w:rsidRPr="00EA7AEA">
        <w:rPr>
          <w:rFonts w:cs="Arial"/>
        </w:rPr>
        <w:t xml:space="preserve">Framework for </w:t>
      </w:r>
      <w:r w:rsidR="005120F5" w:rsidRPr="00EA7AEA">
        <w:rPr>
          <w:rFonts w:cs="Arial"/>
        </w:rPr>
        <w:t>m</w:t>
      </w:r>
      <w:r w:rsidRPr="00EA7AEA">
        <w:rPr>
          <w:rFonts w:cs="Arial"/>
        </w:rPr>
        <w:t xml:space="preserve">anaging </w:t>
      </w:r>
      <w:r w:rsidR="005120F5" w:rsidRPr="00EA7AEA">
        <w:rPr>
          <w:rFonts w:cs="Arial"/>
        </w:rPr>
        <w:t>c</w:t>
      </w:r>
      <w:r w:rsidRPr="00EA7AEA">
        <w:rPr>
          <w:rFonts w:cs="Arial"/>
        </w:rPr>
        <w:t xml:space="preserve">hoice, </w:t>
      </w:r>
      <w:r w:rsidR="005120F5" w:rsidRPr="00EA7AEA">
        <w:rPr>
          <w:rFonts w:cs="Arial"/>
        </w:rPr>
        <w:t>c</w:t>
      </w:r>
      <w:r w:rsidRPr="00EA7AEA">
        <w:rPr>
          <w:rFonts w:cs="Arial"/>
        </w:rPr>
        <w:t xml:space="preserve">o-operation and </w:t>
      </w:r>
      <w:r w:rsidR="005120F5" w:rsidRPr="00EA7AEA">
        <w:rPr>
          <w:rFonts w:cs="Arial"/>
        </w:rPr>
        <w:t>c</w:t>
      </w:r>
      <w:r w:rsidRPr="00EA7AEA">
        <w:rPr>
          <w:rFonts w:cs="Arial"/>
        </w:rPr>
        <w:t>ompetition</w:t>
      </w:r>
    </w:p>
    <w:p w:rsidR="005E2C79" w:rsidRPr="00EA7AEA" w:rsidRDefault="005E2C79" w:rsidP="00264B71">
      <w:pPr>
        <w:numPr>
          <w:ilvl w:val="0"/>
          <w:numId w:val="18"/>
        </w:numPr>
        <w:jc w:val="both"/>
        <w:rPr>
          <w:rFonts w:cs="Arial"/>
        </w:rPr>
      </w:pPr>
      <w:r w:rsidRPr="00EA7AEA">
        <w:rPr>
          <w:rFonts w:cs="Arial"/>
        </w:rPr>
        <w:t xml:space="preserve">Procurement </w:t>
      </w:r>
      <w:r w:rsidR="005120F5" w:rsidRPr="00EA7AEA">
        <w:rPr>
          <w:rFonts w:cs="Arial"/>
        </w:rPr>
        <w:t>g</w:t>
      </w:r>
      <w:r w:rsidRPr="00EA7AEA">
        <w:rPr>
          <w:rFonts w:cs="Arial"/>
        </w:rPr>
        <w:t xml:space="preserve">uide for </w:t>
      </w:r>
      <w:r w:rsidR="005120F5" w:rsidRPr="00EA7AEA">
        <w:rPr>
          <w:rFonts w:cs="Arial"/>
        </w:rPr>
        <w:t>c</w:t>
      </w:r>
      <w:r w:rsidR="001F0BEE" w:rsidRPr="00EA7AEA">
        <w:rPr>
          <w:rFonts w:cs="Arial"/>
        </w:rPr>
        <w:t xml:space="preserve">ommissioners of NHS-funded </w:t>
      </w:r>
      <w:r w:rsidR="005120F5" w:rsidRPr="00EA7AEA">
        <w:rPr>
          <w:rFonts w:cs="Arial"/>
        </w:rPr>
        <w:t>s</w:t>
      </w:r>
      <w:r w:rsidR="001F0BEE" w:rsidRPr="00EA7AEA">
        <w:rPr>
          <w:rFonts w:cs="Arial"/>
        </w:rPr>
        <w:t>ervices</w:t>
      </w:r>
    </w:p>
    <w:p w:rsidR="005E2C79" w:rsidRPr="00EA7AEA" w:rsidRDefault="005E2C79" w:rsidP="00264B71">
      <w:pPr>
        <w:numPr>
          <w:ilvl w:val="0"/>
          <w:numId w:val="18"/>
        </w:numPr>
        <w:jc w:val="both"/>
        <w:rPr>
          <w:rFonts w:cs="Arial"/>
        </w:rPr>
      </w:pPr>
      <w:r w:rsidRPr="00EA7AEA">
        <w:rPr>
          <w:rFonts w:cs="Arial"/>
        </w:rPr>
        <w:t xml:space="preserve">The NHS Operating Framework </w:t>
      </w:r>
      <w:r w:rsidR="00AC76AB" w:rsidRPr="00EA7AEA">
        <w:rPr>
          <w:rFonts w:cs="Arial"/>
        </w:rPr>
        <w:t>(reviewed annually)</w:t>
      </w:r>
    </w:p>
    <w:p w:rsidR="005E2C79" w:rsidRPr="00EA7AEA" w:rsidRDefault="005E2C79" w:rsidP="00264B71">
      <w:pPr>
        <w:numPr>
          <w:ilvl w:val="0"/>
          <w:numId w:val="18"/>
        </w:numPr>
        <w:jc w:val="both"/>
        <w:rPr>
          <w:rFonts w:cs="Arial"/>
        </w:rPr>
      </w:pPr>
      <w:r w:rsidRPr="00EA7AEA">
        <w:rPr>
          <w:rFonts w:cs="Arial"/>
        </w:rPr>
        <w:t>The NHS Performance Regime</w:t>
      </w:r>
    </w:p>
    <w:p w:rsidR="005E2C79" w:rsidRPr="00EA7AEA" w:rsidRDefault="005E2C79" w:rsidP="005E2C79">
      <w:pPr>
        <w:jc w:val="both"/>
        <w:rPr>
          <w:rFonts w:cs="Arial"/>
        </w:rPr>
      </w:pPr>
    </w:p>
    <w:p w:rsidR="005E2C79" w:rsidRPr="00EA7AEA" w:rsidRDefault="005E2C79" w:rsidP="005E2C79">
      <w:pPr>
        <w:jc w:val="both"/>
        <w:rPr>
          <w:rFonts w:cs="Arial"/>
        </w:rPr>
      </w:pPr>
      <w:r w:rsidRPr="00EA7AEA">
        <w:rPr>
          <w:rFonts w:cs="Arial"/>
        </w:rPr>
        <w:t>The ultimate aim in applying any system or market management techniques is to ensure that it results in an improvement in patient experience, outcomes and value for money.</w:t>
      </w:r>
    </w:p>
    <w:p w:rsidR="005E2C79" w:rsidRPr="00EA7AEA" w:rsidRDefault="005E2C79" w:rsidP="005E2C79">
      <w:pPr>
        <w:ind w:left="1440"/>
        <w:jc w:val="both"/>
        <w:rPr>
          <w:rFonts w:cs="Arial"/>
        </w:rPr>
      </w:pPr>
    </w:p>
    <w:p w:rsidR="005E2C79" w:rsidRPr="00EA7AEA" w:rsidRDefault="005E2C79" w:rsidP="005E2C79">
      <w:pPr>
        <w:ind w:left="1440"/>
        <w:jc w:val="both"/>
        <w:rPr>
          <w:rFonts w:cs="Arial"/>
        </w:rPr>
      </w:pPr>
    </w:p>
    <w:p w:rsidR="005E2C79" w:rsidRPr="00EA7AEA" w:rsidRDefault="005E2C79" w:rsidP="00F307E3">
      <w:pPr>
        <w:ind w:left="709" w:hanging="709"/>
        <w:jc w:val="both"/>
        <w:rPr>
          <w:rFonts w:cs="Arial"/>
        </w:rPr>
      </w:pPr>
      <w:r w:rsidRPr="00EA7AEA">
        <w:rPr>
          <w:rFonts w:cs="Arial"/>
        </w:rPr>
        <w:t>2</w:t>
      </w:r>
      <w:r w:rsidRPr="00EA7AEA">
        <w:rPr>
          <w:rFonts w:cs="Arial"/>
        </w:rPr>
        <w:tab/>
      </w:r>
      <w:r w:rsidRPr="00EA7AEA">
        <w:rPr>
          <w:rFonts w:cs="Arial"/>
          <w:u w:val="single"/>
        </w:rPr>
        <w:t>Current Provider Landscape</w:t>
      </w:r>
      <w:r w:rsidR="007115F7" w:rsidRPr="00EA7AEA">
        <w:rPr>
          <w:rFonts w:cs="Arial"/>
          <w:u w:val="single"/>
        </w:rPr>
        <w:t>:</w:t>
      </w:r>
    </w:p>
    <w:p w:rsidR="005E2C79" w:rsidRPr="00EA7AEA" w:rsidRDefault="005E2C79" w:rsidP="005E2C79">
      <w:pPr>
        <w:ind w:left="540" w:hanging="540"/>
        <w:jc w:val="both"/>
        <w:rPr>
          <w:rFonts w:cs="Arial"/>
          <w:b/>
        </w:rPr>
      </w:pPr>
      <w:r w:rsidRPr="00EA7AEA">
        <w:rPr>
          <w:rFonts w:cs="Arial"/>
          <w:b/>
        </w:rPr>
        <w:tab/>
      </w:r>
    </w:p>
    <w:p w:rsidR="005E2C79" w:rsidRPr="00EA7AEA" w:rsidRDefault="005E2C79" w:rsidP="00264B71">
      <w:pPr>
        <w:numPr>
          <w:ilvl w:val="1"/>
          <w:numId w:val="15"/>
        </w:numPr>
        <w:jc w:val="both"/>
        <w:rPr>
          <w:rFonts w:cs="Arial"/>
        </w:rPr>
      </w:pPr>
      <w:r w:rsidRPr="00EA7AEA">
        <w:rPr>
          <w:rFonts w:cs="Arial"/>
        </w:rPr>
        <w:t>Monopoly Providers:</w:t>
      </w:r>
    </w:p>
    <w:p w:rsidR="005E2C79" w:rsidRPr="00EA7AEA" w:rsidRDefault="005E2C79" w:rsidP="005E2C79">
      <w:pPr>
        <w:ind w:left="720"/>
        <w:jc w:val="both"/>
        <w:rPr>
          <w:rFonts w:cs="Arial"/>
          <w:i/>
        </w:rPr>
      </w:pPr>
    </w:p>
    <w:p w:rsidR="005E2C79" w:rsidRPr="00EA7AEA" w:rsidRDefault="005E2C79" w:rsidP="005E2C79">
      <w:pPr>
        <w:ind w:left="720"/>
        <w:jc w:val="both"/>
        <w:rPr>
          <w:rFonts w:cs="Arial"/>
        </w:rPr>
      </w:pPr>
      <w:r w:rsidRPr="00EA7AEA">
        <w:rPr>
          <w:rFonts w:cs="Arial"/>
        </w:rPr>
        <w:t xml:space="preserve">The current provider landscape is dominated by monopoly providers. This presents challenges in offering patient choice and may influence the </w:t>
      </w:r>
      <w:r w:rsidR="004E0086" w:rsidRPr="00EA7AEA">
        <w:rPr>
          <w:rFonts w:cs="Arial"/>
        </w:rPr>
        <w:t>G</w:t>
      </w:r>
      <w:r w:rsidR="0017238E" w:rsidRPr="00EA7AEA">
        <w:rPr>
          <w:rFonts w:cs="Arial"/>
        </w:rPr>
        <w:t>CCG’s</w:t>
      </w:r>
      <w:r w:rsidRPr="00EA7AEA">
        <w:rPr>
          <w:rFonts w:cs="Arial"/>
        </w:rPr>
        <w:t xml:space="preserve"> ability to drive up quality, contract with providers able to respond to modernisation and local needs and develop new care pathways which rely on innovative models of service integration.</w:t>
      </w:r>
    </w:p>
    <w:p w:rsidR="005E2C79" w:rsidRPr="00EA7AEA" w:rsidRDefault="005E2C79" w:rsidP="005E2C79">
      <w:pPr>
        <w:ind w:left="1440"/>
        <w:jc w:val="both"/>
        <w:rPr>
          <w:rFonts w:cs="Arial"/>
        </w:rPr>
      </w:pPr>
    </w:p>
    <w:p w:rsidR="005E2C79" w:rsidRPr="00EA7AEA" w:rsidRDefault="005E2C79" w:rsidP="00264B71">
      <w:pPr>
        <w:pStyle w:val="ListParagraph"/>
        <w:numPr>
          <w:ilvl w:val="1"/>
          <w:numId w:val="15"/>
        </w:numPr>
        <w:jc w:val="both"/>
        <w:rPr>
          <w:rFonts w:cs="Arial"/>
        </w:rPr>
      </w:pPr>
      <w:r w:rsidRPr="00EA7AEA">
        <w:rPr>
          <w:rFonts w:cs="Arial"/>
        </w:rPr>
        <w:t>Provider Economics:</w:t>
      </w:r>
    </w:p>
    <w:p w:rsidR="005E2C79" w:rsidRPr="00EA7AEA" w:rsidRDefault="005E2C79" w:rsidP="005E2C79">
      <w:pPr>
        <w:pStyle w:val="ListParagraph"/>
        <w:jc w:val="both"/>
        <w:rPr>
          <w:rFonts w:cs="Arial"/>
          <w:i/>
        </w:rPr>
      </w:pPr>
    </w:p>
    <w:p w:rsidR="005E2C79" w:rsidRPr="00EA7AEA" w:rsidRDefault="005E2C79" w:rsidP="005E2C79">
      <w:pPr>
        <w:ind w:left="720"/>
        <w:jc w:val="both"/>
        <w:rPr>
          <w:rFonts w:cs="Arial"/>
        </w:rPr>
      </w:pPr>
      <w:r w:rsidRPr="00EA7AEA">
        <w:rPr>
          <w:rFonts w:cs="Arial"/>
        </w:rPr>
        <w:t>The diminishing opportunities for providers to enter the health</w:t>
      </w:r>
      <w:r w:rsidR="00E46443" w:rsidRPr="00EA7AEA">
        <w:rPr>
          <w:rFonts w:cs="Arial"/>
        </w:rPr>
        <w:t xml:space="preserve"> </w:t>
      </w:r>
      <w:r w:rsidRPr="00EA7AEA">
        <w:rPr>
          <w:rFonts w:cs="Arial"/>
        </w:rPr>
        <w:t xml:space="preserve">care market and make significant investment in the infrastructure in a climate of economic downturn and with </w:t>
      </w:r>
      <w:r w:rsidR="0017238E" w:rsidRPr="00EA7AEA">
        <w:rPr>
          <w:rFonts w:cs="Arial"/>
        </w:rPr>
        <w:t xml:space="preserve">default </w:t>
      </w:r>
      <w:r w:rsidRPr="00EA7AEA">
        <w:rPr>
          <w:rFonts w:cs="Arial"/>
        </w:rPr>
        <w:t>contract length</w:t>
      </w:r>
      <w:r w:rsidR="0017238E" w:rsidRPr="00EA7AEA">
        <w:rPr>
          <w:rFonts w:cs="Arial"/>
        </w:rPr>
        <w:t>s</w:t>
      </w:r>
      <w:r w:rsidRPr="00EA7AEA">
        <w:rPr>
          <w:rFonts w:cs="Arial"/>
        </w:rPr>
        <w:t xml:space="preserve"> of 3 years. </w:t>
      </w:r>
    </w:p>
    <w:p w:rsidR="005E2C79" w:rsidRPr="00EA7AEA" w:rsidRDefault="005E2C79" w:rsidP="005E2C79">
      <w:pPr>
        <w:ind w:left="1440"/>
        <w:jc w:val="both"/>
        <w:rPr>
          <w:rFonts w:cs="Arial"/>
        </w:rPr>
      </w:pPr>
    </w:p>
    <w:p w:rsidR="005E2C79" w:rsidRPr="00EA7AEA" w:rsidRDefault="005E2C79" w:rsidP="00264B71">
      <w:pPr>
        <w:pStyle w:val="ListParagraph"/>
        <w:numPr>
          <w:ilvl w:val="1"/>
          <w:numId w:val="15"/>
        </w:numPr>
        <w:jc w:val="both"/>
        <w:rPr>
          <w:rFonts w:cs="Arial"/>
        </w:rPr>
      </w:pPr>
      <w:r w:rsidRPr="00EA7AEA">
        <w:rPr>
          <w:rFonts w:cs="Arial"/>
        </w:rPr>
        <w:t>Developing the Third Sector:</w:t>
      </w:r>
    </w:p>
    <w:p w:rsidR="005E2C79" w:rsidRPr="00EA7AEA" w:rsidRDefault="005E2C79" w:rsidP="005E2C79">
      <w:pPr>
        <w:pStyle w:val="ListParagraph"/>
        <w:jc w:val="both"/>
        <w:rPr>
          <w:rFonts w:cs="Arial"/>
          <w:i/>
        </w:rPr>
      </w:pPr>
    </w:p>
    <w:p w:rsidR="005E2C79" w:rsidRPr="00EA7AEA" w:rsidRDefault="005E2C79" w:rsidP="005E2C79">
      <w:pPr>
        <w:ind w:left="720"/>
        <w:jc w:val="both"/>
        <w:rPr>
          <w:rFonts w:cs="Arial"/>
        </w:rPr>
      </w:pPr>
      <w:r w:rsidRPr="00EA7AEA">
        <w:rPr>
          <w:rFonts w:cs="Arial"/>
        </w:rPr>
        <w:t>Commitment to developing the third sector in a way that supports entry into the health</w:t>
      </w:r>
      <w:r w:rsidR="00E46443" w:rsidRPr="00EA7AEA">
        <w:rPr>
          <w:rFonts w:cs="Arial"/>
        </w:rPr>
        <w:t xml:space="preserve"> </w:t>
      </w:r>
      <w:r w:rsidRPr="00EA7AEA">
        <w:rPr>
          <w:rFonts w:cs="Arial"/>
        </w:rPr>
        <w:t>care market must be conducted in a way that does not compromise the procurement principles of transparency, equity and value for money.</w:t>
      </w:r>
    </w:p>
    <w:p w:rsidR="005E2C79" w:rsidRPr="00EA7AEA" w:rsidRDefault="005E2C79" w:rsidP="005E2C79">
      <w:pPr>
        <w:ind w:left="1440"/>
        <w:jc w:val="both"/>
        <w:rPr>
          <w:rFonts w:cs="Arial"/>
        </w:rPr>
      </w:pPr>
    </w:p>
    <w:p w:rsidR="005E2C79" w:rsidRPr="00EA7AEA" w:rsidRDefault="005E2C79" w:rsidP="00264B71">
      <w:pPr>
        <w:pStyle w:val="ListParagraph"/>
        <w:numPr>
          <w:ilvl w:val="1"/>
          <w:numId w:val="15"/>
        </w:numPr>
        <w:jc w:val="both"/>
        <w:rPr>
          <w:rFonts w:cs="Arial"/>
        </w:rPr>
      </w:pPr>
      <w:r w:rsidRPr="00EA7AEA">
        <w:rPr>
          <w:rFonts w:cs="Arial"/>
        </w:rPr>
        <w:t>Information Technology:</w:t>
      </w:r>
    </w:p>
    <w:p w:rsidR="005E2C79" w:rsidRPr="00EA7AEA" w:rsidRDefault="005E2C79" w:rsidP="005E2C79">
      <w:pPr>
        <w:pStyle w:val="ListParagraph"/>
        <w:jc w:val="both"/>
        <w:rPr>
          <w:rFonts w:cs="Arial"/>
          <w:i/>
        </w:rPr>
      </w:pPr>
    </w:p>
    <w:p w:rsidR="005E2C79" w:rsidRPr="00EA7AEA" w:rsidRDefault="005E2C79" w:rsidP="005E2C79">
      <w:pPr>
        <w:ind w:left="720"/>
        <w:jc w:val="both"/>
        <w:rPr>
          <w:rFonts w:cs="Arial"/>
        </w:rPr>
      </w:pPr>
      <w:r w:rsidRPr="00EA7AEA">
        <w:rPr>
          <w:rFonts w:cs="Arial"/>
        </w:rPr>
        <w:t>The lack of a single patient record system poses constraints on the ease with which patient information and patient care can be transferred from one provider to another.</w:t>
      </w:r>
    </w:p>
    <w:p w:rsidR="005E2C79" w:rsidRPr="00EA7AEA" w:rsidRDefault="005E2C79" w:rsidP="005E2C79">
      <w:pPr>
        <w:ind w:left="1440"/>
        <w:jc w:val="both"/>
        <w:rPr>
          <w:rFonts w:cs="Arial"/>
        </w:rPr>
      </w:pPr>
    </w:p>
    <w:p w:rsidR="005E2C79" w:rsidRPr="00EA7AEA" w:rsidRDefault="005E2C79" w:rsidP="00264B71">
      <w:pPr>
        <w:pStyle w:val="ListParagraph"/>
        <w:numPr>
          <w:ilvl w:val="1"/>
          <w:numId w:val="15"/>
        </w:numPr>
        <w:jc w:val="both"/>
        <w:rPr>
          <w:rFonts w:cs="Arial"/>
        </w:rPr>
      </w:pPr>
      <w:r w:rsidRPr="00EA7AEA">
        <w:rPr>
          <w:rFonts w:cs="Arial"/>
        </w:rPr>
        <w:t>Transport:</w:t>
      </w:r>
    </w:p>
    <w:p w:rsidR="005E2C79" w:rsidRPr="00EA7AEA" w:rsidRDefault="005E2C79" w:rsidP="005E2C79">
      <w:pPr>
        <w:pStyle w:val="ListParagraph"/>
        <w:jc w:val="both"/>
        <w:rPr>
          <w:rFonts w:cs="Arial"/>
          <w:i/>
        </w:rPr>
      </w:pPr>
    </w:p>
    <w:p w:rsidR="005E2C79" w:rsidRPr="00EA7AEA" w:rsidRDefault="005E2C79" w:rsidP="005E2C79">
      <w:pPr>
        <w:ind w:left="720"/>
        <w:jc w:val="both"/>
        <w:rPr>
          <w:rFonts w:cs="Arial"/>
        </w:rPr>
      </w:pPr>
      <w:r w:rsidRPr="00EA7AEA">
        <w:rPr>
          <w:rFonts w:cs="Arial"/>
        </w:rPr>
        <w:t xml:space="preserve">The geography of the market can be defined by how far a patient is willing or able to travel to receive care. The inability or reluctance of patients to travel poses key constraints on the </w:t>
      </w:r>
      <w:r w:rsidR="00E2105F" w:rsidRPr="00EA7AEA">
        <w:rPr>
          <w:rFonts w:cs="Arial"/>
        </w:rPr>
        <w:t>G</w:t>
      </w:r>
      <w:r w:rsidR="0017238E" w:rsidRPr="00EA7AEA">
        <w:rPr>
          <w:rFonts w:cs="Arial"/>
        </w:rPr>
        <w:t>CCG</w:t>
      </w:r>
      <w:r w:rsidRPr="00EA7AEA">
        <w:rPr>
          <w:rFonts w:cs="Arial"/>
        </w:rPr>
        <w:t xml:space="preserve"> to increase the range of providers to increase patient choice.</w:t>
      </w:r>
    </w:p>
    <w:p w:rsidR="005E2C79" w:rsidRPr="00EA7AEA" w:rsidRDefault="005E2C79" w:rsidP="005E2C79">
      <w:pPr>
        <w:ind w:left="1440"/>
        <w:jc w:val="both"/>
        <w:rPr>
          <w:rFonts w:cs="Arial"/>
        </w:rPr>
      </w:pPr>
    </w:p>
    <w:p w:rsidR="005E2C79" w:rsidRPr="00EA7AEA" w:rsidRDefault="005E2C79" w:rsidP="00F307E3">
      <w:pPr>
        <w:ind w:left="709" w:hanging="709"/>
        <w:jc w:val="both"/>
        <w:rPr>
          <w:rFonts w:cs="Arial"/>
        </w:rPr>
      </w:pPr>
      <w:r w:rsidRPr="00EA7AEA">
        <w:rPr>
          <w:rFonts w:cs="Arial"/>
        </w:rPr>
        <w:t>3</w:t>
      </w:r>
      <w:r w:rsidR="00EF5A4C" w:rsidRPr="00EA7AEA">
        <w:rPr>
          <w:rFonts w:cs="Arial"/>
        </w:rPr>
        <w:tab/>
      </w:r>
      <w:r w:rsidRPr="00EA7AEA">
        <w:rPr>
          <w:rFonts w:cs="Arial"/>
          <w:u w:val="single"/>
        </w:rPr>
        <w:t>Market Management in the NHS</w:t>
      </w:r>
      <w:r w:rsidR="007115F7" w:rsidRPr="00EA7AEA">
        <w:rPr>
          <w:rFonts w:cs="Arial"/>
          <w:u w:val="single"/>
        </w:rPr>
        <w:t>:</w:t>
      </w:r>
    </w:p>
    <w:p w:rsidR="005E2C79" w:rsidRPr="00EA7AEA" w:rsidRDefault="005E2C79" w:rsidP="005E2C79">
      <w:pPr>
        <w:jc w:val="both"/>
        <w:rPr>
          <w:rFonts w:cs="Arial"/>
          <w:b/>
        </w:rPr>
      </w:pPr>
    </w:p>
    <w:p w:rsidR="005E2C79" w:rsidRPr="00EA7AEA" w:rsidRDefault="005E2C79" w:rsidP="005E2C79">
      <w:pPr>
        <w:autoSpaceDE w:val="0"/>
        <w:autoSpaceDN w:val="0"/>
        <w:adjustRightInd w:val="0"/>
        <w:jc w:val="both"/>
        <w:rPr>
          <w:rFonts w:cs="Arial"/>
        </w:rPr>
      </w:pPr>
      <w:r w:rsidRPr="00EA7AEA">
        <w:rPr>
          <w:rFonts w:cs="Arial"/>
        </w:rPr>
        <w:t xml:space="preserve">As leaders of the local health system </w:t>
      </w:r>
      <w:r w:rsidR="00F3472A" w:rsidRPr="00EA7AEA">
        <w:rPr>
          <w:rFonts w:cs="Arial"/>
        </w:rPr>
        <w:t xml:space="preserve">the </w:t>
      </w:r>
      <w:r w:rsidR="00E2105F" w:rsidRPr="00EA7AEA">
        <w:rPr>
          <w:rFonts w:cs="Arial"/>
        </w:rPr>
        <w:t>G</w:t>
      </w:r>
      <w:r w:rsidR="0017238E" w:rsidRPr="00EA7AEA">
        <w:rPr>
          <w:rFonts w:cs="Arial"/>
        </w:rPr>
        <w:t>CCG</w:t>
      </w:r>
      <w:r w:rsidRPr="00EA7AEA">
        <w:rPr>
          <w:rFonts w:cs="Arial"/>
        </w:rPr>
        <w:t xml:space="preserve"> ha</w:t>
      </w:r>
      <w:r w:rsidR="00F3472A" w:rsidRPr="00EA7AEA">
        <w:rPr>
          <w:rFonts w:cs="Arial"/>
        </w:rPr>
        <w:t>s</w:t>
      </w:r>
      <w:r w:rsidRPr="00EA7AEA">
        <w:rPr>
          <w:rFonts w:cs="Arial"/>
        </w:rPr>
        <w:t xml:space="preserve"> a significant responsibility to lead and manage the NHS system. Market Management is a pivotal element of effective system management.  </w:t>
      </w:r>
    </w:p>
    <w:p w:rsidR="005E2C79" w:rsidRPr="00EA7AEA" w:rsidRDefault="005E2C79" w:rsidP="005E2C79">
      <w:pPr>
        <w:autoSpaceDE w:val="0"/>
        <w:autoSpaceDN w:val="0"/>
        <w:adjustRightInd w:val="0"/>
        <w:ind w:left="540"/>
        <w:jc w:val="cente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87"/>
      </w:tblGrid>
      <w:tr w:rsidR="00BE69CE" w:rsidRPr="00EA7AEA" w:rsidTr="002F3921">
        <w:tc>
          <w:tcPr>
            <w:tcW w:w="1985" w:type="dxa"/>
          </w:tcPr>
          <w:p w:rsidR="00FC5081" w:rsidRPr="00EA7AEA" w:rsidRDefault="00FC5081" w:rsidP="005E2C79">
            <w:pPr>
              <w:pStyle w:val="introtext"/>
              <w:spacing w:before="0" w:beforeAutospacing="0" w:after="0" w:afterAutospacing="0"/>
              <w:rPr>
                <w:rFonts w:ascii="Arial" w:hAnsi="Arial" w:cs="Arial"/>
                <w:sz w:val="20"/>
                <w:szCs w:val="20"/>
                <w:lang w:val="en-GB" w:eastAsia="en-GB"/>
              </w:rPr>
            </w:pPr>
          </w:p>
          <w:p w:rsidR="005E2C79" w:rsidRPr="00EA7AEA" w:rsidRDefault="005E2C79" w:rsidP="005E2C79">
            <w:pPr>
              <w:pStyle w:val="introtext"/>
              <w:spacing w:before="0" w:beforeAutospacing="0" w:after="0" w:afterAutospacing="0"/>
              <w:rPr>
                <w:rFonts w:ascii="Arial" w:hAnsi="Arial" w:cs="Arial"/>
                <w:sz w:val="20"/>
                <w:szCs w:val="20"/>
                <w:lang w:val="en-GB" w:eastAsia="en-GB"/>
              </w:rPr>
            </w:pPr>
            <w:r w:rsidRPr="00EA7AEA">
              <w:rPr>
                <w:rFonts w:ascii="Arial" w:hAnsi="Arial" w:cs="Arial"/>
                <w:sz w:val="20"/>
                <w:szCs w:val="20"/>
                <w:lang w:val="en-GB" w:eastAsia="en-GB"/>
              </w:rPr>
              <w:t>Ensuring Local Strategic Coherence</w:t>
            </w:r>
          </w:p>
        </w:tc>
        <w:tc>
          <w:tcPr>
            <w:tcW w:w="7087" w:type="dxa"/>
          </w:tcPr>
          <w:p w:rsidR="00FC5081" w:rsidRPr="00EA7AEA" w:rsidRDefault="00FC5081" w:rsidP="00FC5081">
            <w:pPr>
              <w:autoSpaceDE w:val="0"/>
              <w:autoSpaceDN w:val="0"/>
              <w:adjustRightInd w:val="0"/>
              <w:ind w:left="360"/>
              <w:rPr>
                <w:rFonts w:cs="Arial"/>
                <w:sz w:val="20"/>
                <w:szCs w:val="20"/>
              </w:rPr>
            </w:pPr>
          </w:p>
          <w:p w:rsidR="005E2C79" w:rsidRPr="00EA7AEA" w:rsidRDefault="005E2C79" w:rsidP="00264B71">
            <w:pPr>
              <w:numPr>
                <w:ilvl w:val="0"/>
                <w:numId w:val="19"/>
              </w:numPr>
              <w:autoSpaceDE w:val="0"/>
              <w:autoSpaceDN w:val="0"/>
              <w:adjustRightInd w:val="0"/>
              <w:rPr>
                <w:rFonts w:cs="Arial"/>
                <w:sz w:val="20"/>
                <w:szCs w:val="20"/>
              </w:rPr>
            </w:pPr>
            <w:r w:rsidRPr="00EA7AEA">
              <w:rPr>
                <w:rFonts w:cs="Arial"/>
                <w:sz w:val="20"/>
                <w:szCs w:val="20"/>
              </w:rPr>
              <w:t>Engaging with the population around the strategy for the system (including formal consultation)</w:t>
            </w:r>
          </w:p>
          <w:p w:rsidR="005E2C79" w:rsidRPr="00EA7AEA" w:rsidRDefault="005E2C79" w:rsidP="00264B71">
            <w:pPr>
              <w:numPr>
                <w:ilvl w:val="0"/>
                <w:numId w:val="19"/>
              </w:numPr>
              <w:autoSpaceDE w:val="0"/>
              <w:autoSpaceDN w:val="0"/>
              <w:adjustRightInd w:val="0"/>
              <w:rPr>
                <w:rFonts w:cs="Arial"/>
                <w:sz w:val="20"/>
                <w:szCs w:val="20"/>
              </w:rPr>
            </w:pPr>
            <w:r w:rsidRPr="00EA7AEA">
              <w:rPr>
                <w:rFonts w:cs="Arial"/>
                <w:sz w:val="20"/>
                <w:szCs w:val="20"/>
              </w:rPr>
              <w:t>Ensuring that all system tools and techniques including market management result in a cohesive local system</w:t>
            </w:r>
          </w:p>
          <w:p w:rsidR="00FC5081" w:rsidRPr="00EA7AEA" w:rsidRDefault="00FC5081" w:rsidP="00FC5081">
            <w:pPr>
              <w:autoSpaceDE w:val="0"/>
              <w:autoSpaceDN w:val="0"/>
              <w:adjustRightInd w:val="0"/>
              <w:ind w:left="360"/>
              <w:rPr>
                <w:rFonts w:cs="Arial"/>
                <w:sz w:val="20"/>
                <w:szCs w:val="20"/>
              </w:rPr>
            </w:pPr>
          </w:p>
        </w:tc>
      </w:tr>
      <w:tr w:rsidR="00BE69CE" w:rsidRPr="00EA7AEA" w:rsidTr="002F3921">
        <w:tc>
          <w:tcPr>
            <w:tcW w:w="1985" w:type="dxa"/>
          </w:tcPr>
          <w:p w:rsidR="00FC5081" w:rsidRPr="00EA7AEA" w:rsidRDefault="00FC5081" w:rsidP="005E2C79">
            <w:pPr>
              <w:pStyle w:val="introtext"/>
              <w:rPr>
                <w:rFonts w:ascii="Arial" w:hAnsi="Arial" w:cs="Arial"/>
                <w:sz w:val="20"/>
                <w:szCs w:val="20"/>
                <w:lang w:val="en-GB" w:eastAsia="en-GB"/>
              </w:rPr>
            </w:pPr>
          </w:p>
          <w:p w:rsidR="005E2C79" w:rsidRPr="00EA7AEA" w:rsidRDefault="005E2C79" w:rsidP="005E2C79">
            <w:pPr>
              <w:pStyle w:val="introtext"/>
              <w:rPr>
                <w:rFonts w:ascii="Arial" w:hAnsi="Arial" w:cs="Arial"/>
                <w:sz w:val="20"/>
                <w:szCs w:val="20"/>
                <w:lang w:val="en-GB" w:eastAsia="en-GB"/>
              </w:rPr>
            </w:pPr>
            <w:r w:rsidRPr="00EA7AEA">
              <w:rPr>
                <w:rFonts w:ascii="Arial" w:hAnsi="Arial" w:cs="Arial"/>
                <w:sz w:val="20"/>
                <w:szCs w:val="20"/>
                <w:lang w:val="en-GB" w:eastAsia="en-GB"/>
              </w:rPr>
              <w:t>Building and Working the Market</w:t>
            </w:r>
          </w:p>
        </w:tc>
        <w:tc>
          <w:tcPr>
            <w:tcW w:w="7087" w:type="dxa"/>
          </w:tcPr>
          <w:p w:rsidR="00FC5081" w:rsidRPr="00EA7AEA" w:rsidRDefault="00FC5081" w:rsidP="00FC5081">
            <w:pPr>
              <w:autoSpaceDE w:val="0"/>
              <w:autoSpaceDN w:val="0"/>
              <w:adjustRightInd w:val="0"/>
              <w:ind w:left="360"/>
              <w:rPr>
                <w:rFonts w:cs="Arial"/>
                <w:sz w:val="20"/>
                <w:szCs w:val="20"/>
              </w:rPr>
            </w:pPr>
          </w:p>
          <w:p w:rsidR="005E2C79" w:rsidRPr="00EA7AEA" w:rsidRDefault="005E2C79" w:rsidP="00264B71">
            <w:pPr>
              <w:numPr>
                <w:ilvl w:val="0"/>
                <w:numId w:val="20"/>
              </w:numPr>
              <w:autoSpaceDE w:val="0"/>
              <w:autoSpaceDN w:val="0"/>
              <w:adjustRightInd w:val="0"/>
              <w:rPr>
                <w:rFonts w:cs="Arial"/>
                <w:sz w:val="20"/>
                <w:szCs w:val="20"/>
              </w:rPr>
            </w:pPr>
            <w:r w:rsidRPr="00EA7AEA">
              <w:rPr>
                <w:rFonts w:cs="Arial"/>
                <w:sz w:val="20"/>
                <w:szCs w:val="20"/>
              </w:rPr>
              <w:t>Design of local incentives and local choice offer</w:t>
            </w:r>
          </w:p>
          <w:p w:rsidR="005E2C79" w:rsidRPr="00EA7AEA" w:rsidRDefault="005E2C79" w:rsidP="00264B71">
            <w:pPr>
              <w:numPr>
                <w:ilvl w:val="0"/>
                <w:numId w:val="20"/>
              </w:numPr>
              <w:autoSpaceDE w:val="0"/>
              <w:autoSpaceDN w:val="0"/>
              <w:adjustRightInd w:val="0"/>
              <w:rPr>
                <w:rFonts w:cs="Arial"/>
                <w:sz w:val="20"/>
                <w:szCs w:val="20"/>
              </w:rPr>
            </w:pPr>
            <w:r w:rsidRPr="00EA7AEA">
              <w:rPr>
                <w:rFonts w:cs="Arial"/>
                <w:sz w:val="20"/>
                <w:szCs w:val="20"/>
              </w:rPr>
              <w:t xml:space="preserve">Market development </w:t>
            </w:r>
          </w:p>
          <w:p w:rsidR="005E2C79" w:rsidRPr="00EA7AEA" w:rsidRDefault="005E2C79" w:rsidP="00264B71">
            <w:pPr>
              <w:numPr>
                <w:ilvl w:val="0"/>
                <w:numId w:val="20"/>
              </w:numPr>
              <w:autoSpaceDE w:val="0"/>
              <w:autoSpaceDN w:val="0"/>
              <w:adjustRightInd w:val="0"/>
              <w:rPr>
                <w:rFonts w:cs="Arial"/>
                <w:sz w:val="20"/>
                <w:szCs w:val="20"/>
              </w:rPr>
            </w:pPr>
            <w:r w:rsidRPr="00EA7AEA">
              <w:rPr>
                <w:rFonts w:cs="Arial"/>
                <w:sz w:val="20"/>
                <w:szCs w:val="20"/>
              </w:rPr>
              <w:t>Procurement</w:t>
            </w:r>
          </w:p>
          <w:p w:rsidR="005E2C79" w:rsidRPr="00EA7AEA" w:rsidRDefault="005E2C79" w:rsidP="00264B71">
            <w:pPr>
              <w:numPr>
                <w:ilvl w:val="0"/>
                <w:numId w:val="20"/>
              </w:numPr>
              <w:autoSpaceDE w:val="0"/>
              <w:autoSpaceDN w:val="0"/>
              <w:adjustRightInd w:val="0"/>
              <w:rPr>
                <w:rFonts w:cs="Arial"/>
                <w:sz w:val="20"/>
                <w:szCs w:val="20"/>
              </w:rPr>
            </w:pPr>
            <w:r w:rsidRPr="00EA7AEA">
              <w:rPr>
                <w:rFonts w:cs="Arial"/>
                <w:sz w:val="20"/>
                <w:szCs w:val="20"/>
              </w:rPr>
              <w:t>Contracting</w:t>
            </w:r>
          </w:p>
          <w:p w:rsidR="00FC5081" w:rsidRPr="00EA7AEA" w:rsidRDefault="00FC5081" w:rsidP="00FC5081">
            <w:pPr>
              <w:autoSpaceDE w:val="0"/>
              <w:autoSpaceDN w:val="0"/>
              <w:adjustRightInd w:val="0"/>
              <w:ind w:left="360"/>
              <w:rPr>
                <w:rFonts w:cs="Arial"/>
                <w:sz w:val="20"/>
                <w:szCs w:val="20"/>
              </w:rPr>
            </w:pPr>
          </w:p>
        </w:tc>
      </w:tr>
      <w:tr w:rsidR="00BE69CE" w:rsidRPr="00EA7AEA" w:rsidTr="002F3921">
        <w:tc>
          <w:tcPr>
            <w:tcW w:w="1985" w:type="dxa"/>
          </w:tcPr>
          <w:p w:rsidR="00FC5081" w:rsidRPr="00EA7AEA" w:rsidRDefault="00FC5081" w:rsidP="005E2C79">
            <w:pPr>
              <w:pStyle w:val="introtext"/>
              <w:rPr>
                <w:rFonts w:ascii="Arial" w:hAnsi="Arial" w:cs="Arial"/>
                <w:sz w:val="20"/>
                <w:szCs w:val="20"/>
                <w:lang w:val="en-GB" w:eastAsia="en-GB"/>
              </w:rPr>
            </w:pPr>
          </w:p>
          <w:p w:rsidR="005E2C79" w:rsidRPr="00EA7AEA" w:rsidRDefault="005E2C79" w:rsidP="005E2C79">
            <w:pPr>
              <w:pStyle w:val="introtext"/>
              <w:rPr>
                <w:rFonts w:ascii="Arial" w:hAnsi="Arial" w:cs="Arial"/>
                <w:sz w:val="20"/>
                <w:szCs w:val="20"/>
                <w:lang w:val="en-GB" w:eastAsia="en-GB"/>
              </w:rPr>
            </w:pPr>
            <w:r w:rsidRPr="00EA7AEA">
              <w:rPr>
                <w:rFonts w:ascii="Arial" w:hAnsi="Arial" w:cs="Arial"/>
                <w:sz w:val="20"/>
                <w:szCs w:val="20"/>
                <w:lang w:val="en-GB" w:eastAsia="en-GB"/>
              </w:rPr>
              <w:t>Maintaining Market Effectiveness</w:t>
            </w:r>
          </w:p>
        </w:tc>
        <w:tc>
          <w:tcPr>
            <w:tcW w:w="7087" w:type="dxa"/>
          </w:tcPr>
          <w:p w:rsidR="00FC5081" w:rsidRPr="00EA7AEA" w:rsidRDefault="00FC5081" w:rsidP="00FC5081">
            <w:pPr>
              <w:autoSpaceDE w:val="0"/>
              <w:autoSpaceDN w:val="0"/>
              <w:adjustRightInd w:val="0"/>
              <w:ind w:left="360"/>
              <w:rPr>
                <w:rFonts w:cs="Arial"/>
                <w:sz w:val="20"/>
                <w:szCs w:val="20"/>
              </w:rPr>
            </w:pPr>
          </w:p>
          <w:p w:rsidR="005E2C79" w:rsidRPr="00EA7AEA" w:rsidRDefault="005E2C79" w:rsidP="00264B71">
            <w:pPr>
              <w:pStyle w:val="ListParagraph"/>
              <w:numPr>
                <w:ilvl w:val="0"/>
                <w:numId w:val="47"/>
              </w:numPr>
              <w:autoSpaceDE w:val="0"/>
              <w:autoSpaceDN w:val="0"/>
              <w:adjustRightInd w:val="0"/>
              <w:ind w:left="358" w:hanging="358"/>
              <w:rPr>
                <w:rFonts w:cs="Arial"/>
                <w:sz w:val="20"/>
                <w:szCs w:val="20"/>
              </w:rPr>
            </w:pPr>
            <w:r w:rsidRPr="00EA7AEA">
              <w:rPr>
                <w:rFonts w:cs="Arial"/>
                <w:sz w:val="20"/>
                <w:szCs w:val="20"/>
              </w:rPr>
              <w:t>Information for, and communication to</w:t>
            </w:r>
            <w:r w:rsidR="0017238E" w:rsidRPr="00EA7AEA">
              <w:rPr>
                <w:rFonts w:cs="Arial"/>
                <w:sz w:val="20"/>
                <w:szCs w:val="20"/>
              </w:rPr>
              <w:t xml:space="preserve"> the P</w:t>
            </w:r>
            <w:r w:rsidRPr="00EA7AEA">
              <w:rPr>
                <w:rFonts w:cs="Arial"/>
                <w:sz w:val="20"/>
                <w:szCs w:val="20"/>
              </w:rPr>
              <w:t>atients</w:t>
            </w:r>
            <w:r w:rsidR="0017238E" w:rsidRPr="00EA7AEA">
              <w:rPr>
                <w:rFonts w:cs="Arial"/>
                <w:sz w:val="20"/>
                <w:szCs w:val="20"/>
              </w:rPr>
              <w:t>, P</w:t>
            </w:r>
            <w:r w:rsidRPr="00EA7AEA">
              <w:rPr>
                <w:rFonts w:cs="Arial"/>
                <w:sz w:val="20"/>
                <w:szCs w:val="20"/>
              </w:rPr>
              <w:t>ublic</w:t>
            </w:r>
            <w:r w:rsidR="0017238E" w:rsidRPr="00EA7AEA">
              <w:rPr>
                <w:rFonts w:cs="Arial"/>
                <w:sz w:val="20"/>
                <w:szCs w:val="20"/>
              </w:rPr>
              <w:t xml:space="preserve"> and the Market</w:t>
            </w:r>
          </w:p>
          <w:p w:rsidR="005E2C79" w:rsidRPr="00EA7AEA" w:rsidRDefault="005E2C79" w:rsidP="00264B71">
            <w:pPr>
              <w:numPr>
                <w:ilvl w:val="0"/>
                <w:numId w:val="21"/>
              </w:numPr>
              <w:autoSpaceDE w:val="0"/>
              <w:autoSpaceDN w:val="0"/>
              <w:adjustRightInd w:val="0"/>
              <w:rPr>
                <w:rFonts w:cs="Arial"/>
                <w:sz w:val="20"/>
                <w:szCs w:val="20"/>
              </w:rPr>
            </w:pPr>
            <w:r w:rsidRPr="00EA7AEA">
              <w:rPr>
                <w:rFonts w:cs="Arial"/>
                <w:sz w:val="20"/>
                <w:szCs w:val="20"/>
              </w:rPr>
              <w:t>Managing service change through the market</w:t>
            </w:r>
          </w:p>
          <w:p w:rsidR="005E2C79" w:rsidRPr="00EA7AEA" w:rsidRDefault="005E2C79" w:rsidP="00264B71">
            <w:pPr>
              <w:numPr>
                <w:ilvl w:val="0"/>
                <w:numId w:val="21"/>
              </w:numPr>
              <w:autoSpaceDE w:val="0"/>
              <w:autoSpaceDN w:val="0"/>
              <w:adjustRightInd w:val="0"/>
              <w:rPr>
                <w:rFonts w:cs="Arial"/>
                <w:sz w:val="20"/>
                <w:szCs w:val="20"/>
              </w:rPr>
            </w:pPr>
            <w:r w:rsidRPr="00EA7AEA">
              <w:rPr>
                <w:rFonts w:cs="Arial"/>
                <w:sz w:val="20"/>
                <w:szCs w:val="20"/>
              </w:rPr>
              <w:t>Managing the market by:</w:t>
            </w:r>
          </w:p>
          <w:p w:rsidR="005E2C79" w:rsidRPr="00EA7AEA" w:rsidRDefault="005E2C79" w:rsidP="00264B71">
            <w:pPr>
              <w:numPr>
                <w:ilvl w:val="1"/>
                <w:numId w:val="60"/>
              </w:numPr>
              <w:autoSpaceDE w:val="0"/>
              <w:autoSpaceDN w:val="0"/>
              <w:adjustRightInd w:val="0"/>
              <w:rPr>
                <w:rFonts w:cs="Arial"/>
                <w:sz w:val="20"/>
                <w:szCs w:val="20"/>
              </w:rPr>
            </w:pPr>
            <w:r w:rsidRPr="00EA7AEA">
              <w:rPr>
                <w:rFonts w:cs="Arial"/>
                <w:sz w:val="20"/>
                <w:szCs w:val="20"/>
              </w:rPr>
              <w:t>Managing service/ provider failure</w:t>
            </w:r>
          </w:p>
          <w:p w:rsidR="005E2C79" w:rsidRPr="00EA7AEA" w:rsidRDefault="005E2C79" w:rsidP="00264B71">
            <w:pPr>
              <w:numPr>
                <w:ilvl w:val="1"/>
                <w:numId w:val="61"/>
              </w:numPr>
              <w:autoSpaceDE w:val="0"/>
              <w:autoSpaceDN w:val="0"/>
              <w:adjustRightInd w:val="0"/>
              <w:rPr>
                <w:rFonts w:cs="Arial"/>
                <w:sz w:val="20"/>
                <w:szCs w:val="20"/>
              </w:rPr>
            </w:pPr>
            <w:r w:rsidRPr="00EA7AEA">
              <w:rPr>
                <w:rFonts w:cs="Arial"/>
                <w:sz w:val="20"/>
                <w:szCs w:val="20"/>
              </w:rPr>
              <w:t xml:space="preserve">Managing disputes </w:t>
            </w:r>
          </w:p>
          <w:p w:rsidR="005E2C79" w:rsidRPr="00EA7AEA" w:rsidRDefault="005E2C79" w:rsidP="00264B71">
            <w:pPr>
              <w:numPr>
                <w:ilvl w:val="1"/>
                <w:numId w:val="62"/>
              </w:numPr>
              <w:autoSpaceDE w:val="0"/>
              <w:autoSpaceDN w:val="0"/>
              <w:adjustRightInd w:val="0"/>
              <w:rPr>
                <w:rFonts w:cs="Arial"/>
                <w:sz w:val="20"/>
                <w:szCs w:val="20"/>
              </w:rPr>
            </w:pPr>
            <w:r w:rsidRPr="00EA7AEA">
              <w:rPr>
                <w:rFonts w:cs="Arial"/>
                <w:sz w:val="20"/>
                <w:szCs w:val="20"/>
              </w:rPr>
              <w:t>Driving quality in provision</w:t>
            </w:r>
          </w:p>
          <w:p w:rsidR="005E2C79" w:rsidRPr="00EA7AEA" w:rsidRDefault="005E2C79" w:rsidP="00264B71">
            <w:pPr>
              <w:numPr>
                <w:ilvl w:val="0"/>
                <w:numId w:val="22"/>
              </w:numPr>
              <w:autoSpaceDE w:val="0"/>
              <w:autoSpaceDN w:val="0"/>
              <w:adjustRightInd w:val="0"/>
              <w:rPr>
                <w:rFonts w:cs="Arial"/>
                <w:sz w:val="20"/>
                <w:szCs w:val="20"/>
              </w:rPr>
            </w:pPr>
            <w:r w:rsidRPr="00EA7AEA">
              <w:rPr>
                <w:rFonts w:cs="Arial"/>
                <w:sz w:val="20"/>
                <w:szCs w:val="20"/>
              </w:rPr>
              <w:t>Managing local political interface on market decisions</w:t>
            </w:r>
          </w:p>
          <w:p w:rsidR="00FC5081" w:rsidRPr="00EA7AEA" w:rsidRDefault="00FC5081" w:rsidP="00FC5081">
            <w:pPr>
              <w:autoSpaceDE w:val="0"/>
              <w:autoSpaceDN w:val="0"/>
              <w:adjustRightInd w:val="0"/>
              <w:ind w:left="360"/>
              <w:rPr>
                <w:rFonts w:cs="Arial"/>
                <w:sz w:val="20"/>
                <w:szCs w:val="20"/>
              </w:rPr>
            </w:pPr>
          </w:p>
        </w:tc>
      </w:tr>
    </w:tbl>
    <w:p w:rsidR="005E2C79" w:rsidRPr="00EA7AEA" w:rsidRDefault="0017238E" w:rsidP="0017238E">
      <w:pPr>
        <w:jc w:val="center"/>
        <w:rPr>
          <w:rFonts w:cs="Arial"/>
        </w:rPr>
      </w:pPr>
      <w:r w:rsidRPr="00EA7AEA">
        <w:rPr>
          <w:rFonts w:cs="Arial"/>
          <w:sz w:val="18"/>
          <w:szCs w:val="18"/>
        </w:rPr>
        <w:t xml:space="preserve">Table 1: The Responsibilities of the </w:t>
      </w:r>
      <w:r w:rsidR="004E0086" w:rsidRPr="00EA7AEA">
        <w:rPr>
          <w:rFonts w:cs="Arial"/>
          <w:sz w:val="18"/>
          <w:szCs w:val="18"/>
        </w:rPr>
        <w:t>G</w:t>
      </w:r>
      <w:r w:rsidR="00B60B65" w:rsidRPr="00EA7AEA">
        <w:rPr>
          <w:rFonts w:cs="Arial"/>
          <w:sz w:val="18"/>
          <w:szCs w:val="18"/>
        </w:rPr>
        <w:t>CCG</w:t>
      </w:r>
      <w:r w:rsidRPr="00EA7AEA">
        <w:rPr>
          <w:rFonts w:cs="Arial"/>
          <w:sz w:val="18"/>
          <w:szCs w:val="18"/>
        </w:rPr>
        <w:t xml:space="preserve"> Market Manager</w:t>
      </w:r>
    </w:p>
    <w:p w:rsidR="0017238E" w:rsidRPr="00EA7AEA" w:rsidRDefault="0017238E" w:rsidP="005E2C79">
      <w:pPr>
        <w:rPr>
          <w:rFonts w:cs="Arial"/>
        </w:rPr>
      </w:pPr>
    </w:p>
    <w:p w:rsidR="005E2C79" w:rsidRPr="00EA7AEA" w:rsidRDefault="005E2C79" w:rsidP="005E2C79">
      <w:pPr>
        <w:jc w:val="both"/>
        <w:rPr>
          <w:rFonts w:cs="Arial"/>
        </w:rPr>
      </w:pPr>
      <w:r w:rsidRPr="00EA7AEA">
        <w:rPr>
          <w:rFonts w:cs="Arial"/>
        </w:rPr>
        <w:t>The ultimate aim in applying any system or market management techniques is to ensure that it results in an improvement in patient experience, outcomes and value for money.</w:t>
      </w:r>
    </w:p>
    <w:p w:rsidR="005E2C79" w:rsidRPr="00EA7AEA" w:rsidRDefault="005E2C79" w:rsidP="005E2C79">
      <w:pPr>
        <w:jc w:val="both"/>
        <w:rPr>
          <w:rFonts w:cs="Arial"/>
        </w:rPr>
      </w:pPr>
    </w:p>
    <w:p w:rsidR="005E2C79" w:rsidRPr="00EA7AEA" w:rsidRDefault="005E2C79" w:rsidP="005E2C79">
      <w:pPr>
        <w:jc w:val="both"/>
        <w:rPr>
          <w:rFonts w:cs="Arial"/>
        </w:rPr>
      </w:pPr>
      <w:r w:rsidRPr="00EA7AEA">
        <w:rPr>
          <w:rFonts w:cs="Arial"/>
        </w:rPr>
        <w:t xml:space="preserve">One of the best ways we can achieve this is to construct excellent provider relationships based on a common understanding of the service requirements through clear specifications for services based on good care pathways </w:t>
      </w:r>
      <w:r w:rsidR="00A64B10" w:rsidRPr="00EA7AEA">
        <w:rPr>
          <w:rFonts w:cs="Arial"/>
        </w:rPr>
        <w:t xml:space="preserve">and </w:t>
      </w:r>
      <w:r w:rsidRPr="00EA7AEA">
        <w:rPr>
          <w:rFonts w:cs="Arial"/>
        </w:rPr>
        <w:t>models of care; effective contract performance monitoring and management systems, and to build up strong relationships with providers over time.</w:t>
      </w:r>
    </w:p>
    <w:p w:rsidR="005E2C79" w:rsidRPr="00EA7AEA" w:rsidRDefault="005E2C79" w:rsidP="005E2C79">
      <w:pPr>
        <w:rPr>
          <w:rFonts w:cs="Arial"/>
        </w:rPr>
      </w:pPr>
    </w:p>
    <w:p w:rsidR="005E2C79" w:rsidRPr="00EA7AEA" w:rsidRDefault="005E2C79" w:rsidP="005E2C79">
      <w:pPr>
        <w:jc w:val="both"/>
        <w:rPr>
          <w:rFonts w:cs="Arial"/>
        </w:rPr>
      </w:pPr>
      <w:r w:rsidRPr="00EA7AEA">
        <w:rPr>
          <w:rFonts w:cs="Arial"/>
        </w:rPr>
        <w:t>In some cases it is necessary and appropriate to have competition for services in order to secure improved outcomes</w:t>
      </w:r>
      <w:r w:rsidR="0035317E" w:rsidRPr="00EA7AEA">
        <w:rPr>
          <w:rFonts w:cs="Arial"/>
        </w:rPr>
        <w:t>, maintain complex service</w:t>
      </w:r>
      <w:r w:rsidRPr="00EA7AEA">
        <w:rPr>
          <w:rFonts w:cs="Arial"/>
        </w:rPr>
        <w:t xml:space="preserve"> </w:t>
      </w:r>
      <w:r w:rsidR="0035317E" w:rsidRPr="00EA7AEA">
        <w:rPr>
          <w:rFonts w:cs="Arial"/>
        </w:rPr>
        <w:t xml:space="preserve">integration </w:t>
      </w:r>
      <w:r w:rsidRPr="00EA7AEA">
        <w:rPr>
          <w:rFonts w:cs="Arial"/>
        </w:rPr>
        <w:t xml:space="preserve">and patient experience. In other cases it is possible and desirable to maintain existing suppliers, whilst continuing to drive quality improvements.  </w:t>
      </w:r>
    </w:p>
    <w:p w:rsidR="005E2C79" w:rsidRPr="00EA7AEA" w:rsidRDefault="005E2C79" w:rsidP="005E2C79">
      <w:pPr>
        <w:jc w:val="both"/>
        <w:rPr>
          <w:rFonts w:cs="Arial"/>
        </w:rPr>
      </w:pPr>
    </w:p>
    <w:p w:rsidR="005E2C79" w:rsidRPr="00EA7AEA" w:rsidRDefault="00EF5A4C" w:rsidP="005E2C79">
      <w:pPr>
        <w:jc w:val="both"/>
        <w:rPr>
          <w:rFonts w:cs="Arial"/>
          <w:u w:val="single"/>
        </w:rPr>
      </w:pPr>
      <w:r w:rsidRPr="00EA7AEA">
        <w:rPr>
          <w:rFonts w:cs="Arial"/>
        </w:rPr>
        <w:lastRenderedPageBreak/>
        <w:t>4</w:t>
      </w:r>
      <w:r w:rsidRPr="00EA7AEA">
        <w:rPr>
          <w:rFonts w:cs="Arial"/>
        </w:rPr>
        <w:tab/>
      </w:r>
      <w:r w:rsidRPr="00EA7AEA">
        <w:rPr>
          <w:rFonts w:cs="Arial"/>
          <w:u w:val="single"/>
        </w:rPr>
        <w:t>N</w:t>
      </w:r>
      <w:r w:rsidR="005E2C79" w:rsidRPr="00EA7AEA">
        <w:rPr>
          <w:rFonts w:cs="Arial"/>
          <w:u w:val="single"/>
        </w:rPr>
        <w:t>HS Gloucestershire</w:t>
      </w:r>
      <w:r w:rsidR="0017238E" w:rsidRPr="00EA7AEA">
        <w:rPr>
          <w:rFonts w:cs="Arial"/>
          <w:u w:val="single"/>
        </w:rPr>
        <w:t xml:space="preserve"> CCG</w:t>
      </w:r>
      <w:r w:rsidR="005E2C79" w:rsidRPr="00EA7AEA">
        <w:rPr>
          <w:rFonts w:cs="Arial"/>
          <w:u w:val="single"/>
        </w:rPr>
        <w:t>’s Approach to Market Management</w:t>
      </w:r>
      <w:r w:rsidR="007115F7" w:rsidRPr="00EA7AEA">
        <w:rPr>
          <w:rFonts w:cs="Arial"/>
          <w:u w:val="single"/>
        </w:rPr>
        <w:t>:</w:t>
      </w:r>
    </w:p>
    <w:p w:rsidR="005E2C79" w:rsidRPr="00EA7AEA" w:rsidRDefault="005E2C79" w:rsidP="005E2C79">
      <w:pPr>
        <w:ind w:left="720"/>
        <w:jc w:val="both"/>
        <w:rPr>
          <w:rFonts w:cs="Arial"/>
        </w:rPr>
      </w:pPr>
    </w:p>
    <w:p w:rsidR="005E2C79" w:rsidRPr="00EA7AEA" w:rsidRDefault="005E2C79" w:rsidP="005E2C79">
      <w:pPr>
        <w:jc w:val="both"/>
        <w:rPr>
          <w:rFonts w:cs="Arial"/>
        </w:rPr>
      </w:pPr>
      <w:r w:rsidRPr="00EA7AEA">
        <w:rPr>
          <w:rFonts w:cs="Arial"/>
        </w:rPr>
        <w:t xml:space="preserve">The </w:t>
      </w:r>
      <w:r w:rsidR="00E2105F" w:rsidRPr="00EA7AEA">
        <w:rPr>
          <w:rFonts w:cs="Arial"/>
        </w:rPr>
        <w:t>G</w:t>
      </w:r>
      <w:r w:rsidR="0017238E" w:rsidRPr="00EA7AEA">
        <w:rPr>
          <w:rFonts w:cs="Arial"/>
        </w:rPr>
        <w:t>CCG’</w:t>
      </w:r>
      <w:r w:rsidRPr="00EA7AEA">
        <w:rPr>
          <w:rFonts w:cs="Arial"/>
        </w:rPr>
        <w:t>s approach to market management will focus on three clear activities; contract management; market analysis (including robust procurement processes) and market development. Market analysis and market development activities need to be undertaken in a planned and prioritised way in order to maximise the benefits to be derived through any procurements offered to the market.</w:t>
      </w:r>
    </w:p>
    <w:p w:rsidR="005E2C79" w:rsidRPr="00EA7AEA" w:rsidRDefault="005E2C79" w:rsidP="005E2C79">
      <w:pPr>
        <w:ind w:left="720"/>
        <w:jc w:val="both"/>
        <w:rPr>
          <w:rFonts w:cs="Arial"/>
        </w:rPr>
      </w:pPr>
    </w:p>
    <w:p w:rsidR="005E2C79" w:rsidRPr="00EA7AEA" w:rsidRDefault="005E2C79" w:rsidP="005E2C79">
      <w:pPr>
        <w:jc w:val="both"/>
        <w:rPr>
          <w:rFonts w:cs="Arial"/>
        </w:rPr>
      </w:pPr>
      <w:r w:rsidRPr="00EA7AEA">
        <w:rPr>
          <w:rFonts w:cs="Arial"/>
        </w:rPr>
        <w:t xml:space="preserve">The vision for the future provider landscape for </w:t>
      </w:r>
      <w:r w:rsidR="0017238E" w:rsidRPr="00EA7AEA">
        <w:rPr>
          <w:rFonts w:cs="Arial"/>
        </w:rPr>
        <w:t xml:space="preserve">the </w:t>
      </w:r>
      <w:r w:rsidR="00E2105F" w:rsidRPr="00EA7AEA">
        <w:rPr>
          <w:rFonts w:cs="Arial"/>
        </w:rPr>
        <w:t>G</w:t>
      </w:r>
      <w:r w:rsidR="0017238E" w:rsidRPr="00EA7AEA">
        <w:rPr>
          <w:rFonts w:cs="Arial"/>
        </w:rPr>
        <w:t>CCG</w:t>
      </w:r>
      <w:r w:rsidRPr="00EA7AEA">
        <w:rPr>
          <w:rFonts w:cs="Arial"/>
        </w:rPr>
        <w:t xml:space="preserve"> is to provide greater diversity where this is appropriate underpinned by two key principles:</w:t>
      </w:r>
    </w:p>
    <w:p w:rsidR="005E2C79" w:rsidRPr="00EA7AEA" w:rsidRDefault="005E2C79" w:rsidP="005E2C79">
      <w:pPr>
        <w:ind w:left="720"/>
        <w:jc w:val="both"/>
        <w:rPr>
          <w:rFonts w:cs="Arial"/>
        </w:rPr>
      </w:pPr>
    </w:p>
    <w:p w:rsidR="005E2C79" w:rsidRPr="00EA7AEA" w:rsidRDefault="005E2C79" w:rsidP="00264B71">
      <w:pPr>
        <w:numPr>
          <w:ilvl w:val="0"/>
          <w:numId w:val="23"/>
        </w:numPr>
        <w:jc w:val="both"/>
        <w:rPr>
          <w:rFonts w:cs="Arial"/>
        </w:rPr>
      </w:pPr>
      <w:r w:rsidRPr="00EA7AEA">
        <w:rPr>
          <w:rFonts w:cs="Arial"/>
        </w:rPr>
        <w:t>Increasing choice for users of services</w:t>
      </w:r>
    </w:p>
    <w:p w:rsidR="005E2C79" w:rsidRPr="00EA7AEA" w:rsidRDefault="005E2C79" w:rsidP="00264B71">
      <w:pPr>
        <w:numPr>
          <w:ilvl w:val="0"/>
          <w:numId w:val="23"/>
        </w:numPr>
        <w:jc w:val="both"/>
        <w:rPr>
          <w:rFonts w:cs="Arial"/>
        </w:rPr>
      </w:pPr>
      <w:r w:rsidRPr="00EA7AEA">
        <w:rPr>
          <w:rFonts w:cs="Arial"/>
        </w:rPr>
        <w:t>Provider development or contestability to drive up the quality of services and reduce costs</w:t>
      </w:r>
    </w:p>
    <w:p w:rsidR="005E2C79" w:rsidRPr="00EA7AEA" w:rsidRDefault="005E2C79" w:rsidP="005E2C79">
      <w:pPr>
        <w:jc w:val="both"/>
        <w:rPr>
          <w:rFonts w:cs="Arial"/>
        </w:rPr>
      </w:pPr>
    </w:p>
    <w:p w:rsidR="005E2C79" w:rsidRPr="00EA7AEA" w:rsidRDefault="005E2C79" w:rsidP="005E2C79">
      <w:pPr>
        <w:jc w:val="both"/>
        <w:rPr>
          <w:rFonts w:cs="Arial"/>
        </w:rPr>
      </w:pPr>
      <w:r w:rsidRPr="00EA7AEA">
        <w:rPr>
          <w:rFonts w:cs="Arial"/>
        </w:rPr>
        <w:t xml:space="preserve">This will be achieved through a considered use of competition to improve quality. It is neither possible nor desirable to have a third District General Hospital within Gloucestershire, but it is possible to increase the options for accessing elements of care at a pathway level. This pathway approach was used by </w:t>
      </w:r>
      <w:r w:rsidR="0017238E" w:rsidRPr="00EA7AEA">
        <w:rPr>
          <w:rFonts w:cs="Arial"/>
        </w:rPr>
        <w:t xml:space="preserve">the </w:t>
      </w:r>
      <w:r w:rsidR="00E2105F" w:rsidRPr="00EA7AEA">
        <w:rPr>
          <w:rFonts w:cs="Arial"/>
        </w:rPr>
        <w:t>G</w:t>
      </w:r>
      <w:r w:rsidR="0017238E" w:rsidRPr="00EA7AEA">
        <w:rPr>
          <w:rFonts w:cs="Arial"/>
        </w:rPr>
        <w:t xml:space="preserve">CCG’s predecessor, </w:t>
      </w:r>
      <w:r w:rsidRPr="00EA7AEA">
        <w:rPr>
          <w:rFonts w:cs="Arial"/>
        </w:rPr>
        <w:t>NHS Gloucestershire</w:t>
      </w:r>
      <w:r w:rsidR="0017238E" w:rsidRPr="00EA7AEA">
        <w:rPr>
          <w:rFonts w:cs="Arial"/>
        </w:rPr>
        <w:t xml:space="preserve"> PCT,</w:t>
      </w:r>
      <w:r w:rsidRPr="00EA7AEA">
        <w:rPr>
          <w:rFonts w:cs="Arial"/>
        </w:rPr>
        <w:t xml:space="preserve"> to develop a new musculoskeletal assessment service to support traditional secondary care orthopaedic provision.</w:t>
      </w:r>
    </w:p>
    <w:p w:rsidR="005E2C79" w:rsidRPr="00EA7AEA" w:rsidRDefault="005E2C79" w:rsidP="005E2C79">
      <w:pPr>
        <w:ind w:left="720"/>
        <w:jc w:val="both"/>
        <w:rPr>
          <w:rFonts w:cs="Arial"/>
        </w:rPr>
      </w:pPr>
    </w:p>
    <w:p w:rsidR="005E2C79" w:rsidRPr="00EA7AEA" w:rsidRDefault="005E2C79" w:rsidP="005E2C79">
      <w:pPr>
        <w:jc w:val="both"/>
        <w:rPr>
          <w:rFonts w:cs="Arial"/>
        </w:rPr>
      </w:pPr>
      <w:r w:rsidRPr="00EA7AEA">
        <w:rPr>
          <w:rFonts w:cs="Arial"/>
        </w:rPr>
        <w:t>It is not always possible or appropriate to increase the number of providers in the market; there are other levers which need to be utilised to improve and shape the market and drive up quality. These include using contract performance levers, patient user participation in service reviews and analysis of data in respect of quality of services.</w:t>
      </w:r>
    </w:p>
    <w:p w:rsidR="005E2C79" w:rsidRPr="00EA7AEA" w:rsidRDefault="005E2C79" w:rsidP="005E2C79">
      <w:pPr>
        <w:ind w:left="720"/>
        <w:jc w:val="both"/>
        <w:rPr>
          <w:rFonts w:cs="Arial"/>
        </w:rPr>
      </w:pPr>
    </w:p>
    <w:p w:rsidR="005E2C79" w:rsidRPr="00EA7AEA" w:rsidRDefault="005E2C79" w:rsidP="00264B71">
      <w:pPr>
        <w:numPr>
          <w:ilvl w:val="1"/>
          <w:numId w:val="14"/>
        </w:numPr>
        <w:jc w:val="both"/>
        <w:rPr>
          <w:rFonts w:cs="Arial"/>
        </w:rPr>
      </w:pPr>
      <w:r w:rsidRPr="00EA7AEA">
        <w:rPr>
          <w:rFonts w:cs="Arial"/>
        </w:rPr>
        <w:t>Contract Management:</w:t>
      </w:r>
    </w:p>
    <w:p w:rsidR="005E2C79" w:rsidRPr="00EA7AEA" w:rsidRDefault="005E2C79" w:rsidP="005E2C79">
      <w:pPr>
        <w:jc w:val="both"/>
        <w:rPr>
          <w:rFonts w:cs="Arial"/>
          <w:i/>
        </w:rPr>
      </w:pPr>
    </w:p>
    <w:p w:rsidR="005E2C79" w:rsidRPr="00EA7AEA" w:rsidRDefault="005E2C79" w:rsidP="005E2C79">
      <w:pPr>
        <w:autoSpaceDE w:val="0"/>
        <w:autoSpaceDN w:val="0"/>
        <w:adjustRightInd w:val="0"/>
        <w:jc w:val="both"/>
        <w:rPr>
          <w:rFonts w:cs="Arial"/>
        </w:rPr>
      </w:pPr>
      <w:r w:rsidRPr="00EA7AEA">
        <w:rPr>
          <w:rFonts w:cs="Arial"/>
        </w:rPr>
        <w:t xml:space="preserve">The first stage of Market Management will be to consider the appropriateness of contestability as a system lever. In some cases, as described in section 6, robust contract management and effective supplier management, i.e. working with our current providers of patient care will improve outcomes; patient experience; quality and reduce failings.  There are some circumstances where it is immediately apparent that contesting the service is not feasible or beneficial to improving outcomes and value for money: </w:t>
      </w:r>
    </w:p>
    <w:p w:rsidR="005E2C79" w:rsidRPr="00EA7AEA" w:rsidRDefault="005E2C79" w:rsidP="005E2C79">
      <w:pPr>
        <w:autoSpaceDE w:val="0"/>
        <w:autoSpaceDN w:val="0"/>
        <w:adjustRightInd w:val="0"/>
        <w:ind w:left="720"/>
        <w:rPr>
          <w:rFonts w:cs="Arial"/>
        </w:rPr>
      </w:pPr>
    </w:p>
    <w:p w:rsidR="005E2C79" w:rsidRPr="00EA7AEA" w:rsidRDefault="005E2C79" w:rsidP="00264B71">
      <w:pPr>
        <w:numPr>
          <w:ilvl w:val="0"/>
          <w:numId w:val="24"/>
        </w:numPr>
        <w:jc w:val="both"/>
        <w:rPr>
          <w:rFonts w:cs="Arial"/>
        </w:rPr>
      </w:pPr>
      <w:r w:rsidRPr="00EA7AEA">
        <w:rPr>
          <w:rFonts w:cs="Arial"/>
        </w:rPr>
        <w:t>The service is a specialised service where provider designation has already taken place at a national or regional level</w:t>
      </w:r>
    </w:p>
    <w:p w:rsidR="005E2C79" w:rsidRPr="00EA7AEA" w:rsidRDefault="005E2C79" w:rsidP="005E2C79">
      <w:pPr>
        <w:ind w:left="360"/>
        <w:jc w:val="both"/>
        <w:rPr>
          <w:rFonts w:cs="Arial"/>
        </w:rPr>
      </w:pPr>
    </w:p>
    <w:p w:rsidR="005E2C79" w:rsidRPr="00EA7AEA" w:rsidRDefault="005E2C79" w:rsidP="00264B71">
      <w:pPr>
        <w:numPr>
          <w:ilvl w:val="0"/>
          <w:numId w:val="24"/>
        </w:numPr>
        <w:jc w:val="both"/>
        <w:rPr>
          <w:rFonts w:cs="Arial"/>
        </w:rPr>
      </w:pPr>
      <w:r w:rsidRPr="00EA7AEA">
        <w:rPr>
          <w:rFonts w:cs="Arial"/>
        </w:rPr>
        <w:t>Where the service to be procured has such strong service alliances with an existing service that an extension to an existing agreement is appropriate</w:t>
      </w:r>
      <w:r w:rsidR="00F3472A" w:rsidRPr="00EA7AEA">
        <w:rPr>
          <w:rFonts w:cs="Arial"/>
        </w:rPr>
        <w:t xml:space="preserve"> (complex service integration).</w:t>
      </w:r>
    </w:p>
    <w:p w:rsidR="005E2C79" w:rsidRPr="00EA7AEA" w:rsidRDefault="005E2C79" w:rsidP="005E2C79">
      <w:pPr>
        <w:ind w:left="360"/>
        <w:jc w:val="both"/>
        <w:rPr>
          <w:rFonts w:cs="Arial"/>
        </w:rPr>
      </w:pPr>
    </w:p>
    <w:p w:rsidR="005E2C79" w:rsidRPr="00EA7AEA" w:rsidRDefault="005E2C79" w:rsidP="00264B71">
      <w:pPr>
        <w:numPr>
          <w:ilvl w:val="0"/>
          <w:numId w:val="24"/>
        </w:numPr>
        <w:jc w:val="both"/>
        <w:rPr>
          <w:rFonts w:cs="Arial"/>
        </w:rPr>
      </w:pPr>
      <w:r w:rsidRPr="00EA7AEA">
        <w:rPr>
          <w:rFonts w:cs="Arial"/>
        </w:rPr>
        <w:t>Where the cost of undertaking a contested approach cannot be justified in light of the contract value</w:t>
      </w:r>
      <w:r w:rsidR="0017238E" w:rsidRPr="00EA7AEA">
        <w:rPr>
          <w:rFonts w:cs="Arial"/>
        </w:rPr>
        <w:t xml:space="preserve"> (proportionality)</w:t>
      </w:r>
    </w:p>
    <w:p w:rsidR="005E2C79" w:rsidRPr="00EA7AEA" w:rsidRDefault="005E2C79" w:rsidP="005E2C79">
      <w:pPr>
        <w:ind w:left="360"/>
        <w:jc w:val="both"/>
        <w:rPr>
          <w:rFonts w:cs="Arial"/>
        </w:rPr>
      </w:pPr>
    </w:p>
    <w:p w:rsidR="005E2C79" w:rsidRPr="00EA7AEA" w:rsidRDefault="005E2C79" w:rsidP="00264B71">
      <w:pPr>
        <w:numPr>
          <w:ilvl w:val="0"/>
          <w:numId w:val="24"/>
        </w:numPr>
        <w:jc w:val="both"/>
        <w:rPr>
          <w:rFonts w:cs="Arial"/>
        </w:rPr>
      </w:pPr>
      <w:r w:rsidRPr="00EA7AEA">
        <w:rPr>
          <w:rFonts w:cs="Arial"/>
        </w:rPr>
        <w:t xml:space="preserve">Where the </w:t>
      </w:r>
      <w:r w:rsidR="00E2105F" w:rsidRPr="00EA7AEA">
        <w:rPr>
          <w:rFonts w:cs="Arial"/>
        </w:rPr>
        <w:t>G</w:t>
      </w:r>
      <w:r w:rsidR="0017238E" w:rsidRPr="00EA7AEA">
        <w:rPr>
          <w:rFonts w:cs="Arial"/>
        </w:rPr>
        <w:t>CCG</w:t>
      </w:r>
      <w:r w:rsidRPr="00EA7AEA">
        <w:rPr>
          <w:rFonts w:cs="Arial"/>
        </w:rPr>
        <w:t xml:space="preserve"> wishes to encourage provision from within a sector that might otherwise not prevail through a contested approach </w:t>
      </w:r>
    </w:p>
    <w:p w:rsidR="005E2C79" w:rsidRPr="00EA7AEA" w:rsidRDefault="005E2C79" w:rsidP="005E2C79">
      <w:pPr>
        <w:ind w:left="360"/>
        <w:jc w:val="both"/>
        <w:rPr>
          <w:rFonts w:cs="Arial"/>
        </w:rPr>
      </w:pPr>
    </w:p>
    <w:p w:rsidR="005E2C79" w:rsidRPr="00EA7AEA" w:rsidRDefault="005E2C79" w:rsidP="00264B71">
      <w:pPr>
        <w:numPr>
          <w:ilvl w:val="0"/>
          <w:numId w:val="24"/>
        </w:numPr>
        <w:jc w:val="both"/>
        <w:rPr>
          <w:rFonts w:cs="Arial"/>
        </w:rPr>
      </w:pPr>
      <w:r w:rsidRPr="00EA7AEA">
        <w:rPr>
          <w:rFonts w:cs="Arial"/>
        </w:rPr>
        <w:t>Where failing to award a contract to a preferred provider would put other core services at risk i.e. recognising the need to safe guard against unintended consequences relating to service viability and tipping points.</w:t>
      </w:r>
    </w:p>
    <w:p w:rsidR="005E2C79" w:rsidRPr="00EA7AEA" w:rsidRDefault="005E2C79" w:rsidP="005E2C79">
      <w:pPr>
        <w:ind w:left="1440"/>
        <w:rPr>
          <w:rFonts w:cs="Arial"/>
        </w:rPr>
      </w:pPr>
    </w:p>
    <w:p w:rsidR="005E2C79" w:rsidRPr="00EA7AEA" w:rsidRDefault="005E2C79" w:rsidP="005E2C79">
      <w:pPr>
        <w:autoSpaceDE w:val="0"/>
        <w:autoSpaceDN w:val="0"/>
        <w:adjustRightInd w:val="0"/>
        <w:jc w:val="both"/>
        <w:rPr>
          <w:rFonts w:cs="Arial"/>
        </w:rPr>
      </w:pPr>
      <w:r w:rsidRPr="00EA7AEA">
        <w:rPr>
          <w:rFonts w:cs="Arial"/>
        </w:rPr>
        <w:lastRenderedPageBreak/>
        <w:t xml:space="preserve">The </w:t>
      </w:r>
      <w:r w:rsidR="00E2105F" w:rsidRPr="00EA7AEA">
        <w:rPr>
          <w:rFonts w:cs="Arial"/>
        </w:rPr>
        <w:t>G</w:t>
      </w:r>
      <w:r w:rsidR="0017238E" w:rsidRPr="00EA7AEA">
        <w:rPr>
          <w:rFonts w:cs="Arial"/>
        </w:rPr>
        <w:t>CCG</w:t>
      </w:r>
      <w:r w:rsidRPr="00EA7AEA">
        <w:rPr>
          <w:rFonts w:cs="Arial"/>
        </w:rPr>
        <w:t xml:space="preserve"> will also ensure it demonstrates how as many of the possible benefits associated with a contested approach are realised through strong commissioning and specification of services</w:t>
      </w:r>
      <w:r w:rsidR="00F3472A" w:rsidRPr="00EA7AEA">
        <w:rPr>
          <w:rFonts w:cs="Arial"/>
        </w:rPr>
        <w:t>.</w:t>
      </w:r>
    </w:p>
    <w:p w:rsidR="005E2C79" w:rsidRPr="00EA7AEA" w:rsidRDefault="005E2C79" w:rsidP="005E2C79">
      <w:pPr>
        <w:autoSpaceDE w:val="0"/>
        <w:autoSpaceDN w:val="0"/>
        <w:adjustRightInd w:val="0"/>
        <w:ind w:left="720"/>
        <w:jc w:val="both"/>
        <w:rPr>
          <w:rFonts w:cs="Arial"/>
        </w:rPr>
      </w:pPr>
    </w:p>
    <w:p w:rsidR="005E2C79" w:rsidRPr="00EA7AEA" w:rsidRDefault="005E2C79" w:rsidP="005E2C79">
      <w:pPr>
        <w:autoSpaceDE w:val="0"/>
        <w:autoSpaceDN w:val="0"/>
        <w:adjustRightInd w:val="0"/>
        <w:jc w:val="both"/>
        <w:rPr>
          <w:rFonts w:cs="Arial"/>
        </w:rPr>
      </w:pPr>
      <w:r w:rsidRPr="00EA7AEA">
        <w:rPr>
          <w:rFonts w:cs="Arial"/>
        </w:rPr>
        <w:t xml:space="preserve">Where it is </w:t>
      </w:r>
      <w:r w:rsidRPr="00EA7AEA">
        <w:rPr>
          <w:rFonts w:cs="Arial"/>
          <w:bCs/>
        </w:rPr>
        <w:t>not absolutely apparent</w:t>
      </w:r>
      <w:r w:rsidRPr="00EA7AEA">
        <w:rPr>
          <w:rFonts w:cs="Arial"/>
        </w:rPr>
        <w:t xml:space="preserve"> that competition would not be beneficial then the </w:t>
      </w:r>
      <w:r w:rsidR="00E2105F" w:rsidRPr="00EA7AEA">
        <w:rPr>
          <w:rFonts w:cs="Arial"/>
        </w:rPr>
        <w:t>G</w:t>
      </w:r>
      <w:r w:rsidR="0017238E" w:rsidRPr="00EA7AEA">
        <w:rPr>
          <w:rFonts w:cs="Arial"/>
        </w:rPr>
        <w:t>CCG</w:t>
      </w:r>
      <w:r w:rsidRPr="00EA7AEA">
        <w:rPr>
          <w:rFonts w:cs="Arial"/>
        </w:rPr>
        <w:t xml:space="preserve"> will </w:t>
      </w:r>
      <w:r w:rsidRPr="00EA7AEA">
        <w:rPr>
          <w:rFonts w:cs="Arial"/>
          <w:bCs/>
        </w:rPr>
        <w:t>use the Contestability Framework</w:t>
      </w:r>
      <w:r w:rsidRPr="00EA7AEA">
        <w:rPr>
          <w:rFonts w:cs="Arial"/>
        </w:rPr>
        <w:t xml:space="preserve"> to support the making of a decision about contestability. The </w:t>
      </w:r>
      <w:r w:rsidR="00E2105F" w:rsidRPr="00EA7AEA">
        <w:rPr>
          <w:rFonts w:cs="Arial"/>
        </w:rPr>
        <w:t>G</w:t>
      </w:r>
      <w:r w:rsidR="0017238E" w:rsidRPr="00EA7AEA">
        <w:rPr>
          <w:rFonts w:cs="Arial"/>
        </w:rPr>
        <w:t>CCG</w:t>
      </w:r>
      <w:r w:rsidRPr="00EA7AEA">
        <w:rPr>
          <w:rFonts w:cs="Arial"/>
        </w:rPr>
        <w:t xml:space="preserve"> will ensure that when a decision not to contest a service is reached, this will formally be documented and made available to interested parties.  Only after deciding that contestability is needed to improve outcomes will the </w:t>
      </w:r>
      <w:r w:rsidR="00E2105F" w:rsidRPr="00EA7AEA">
        <w:rPr>
          <w:rFonts w:cs="Arial"/>
        </w:rPr>
        <w:t>G</w:t>
      </w:r>
      <w:r w:rsidR="0017238E" w:rsidRPr="00EA7AEA">
        <w:rPr>
          <w:rFonts w:cs="Arial"/>
        </w:rPr>
        <w:t>CCG</w:t>
      </w:r>
      <w:r w:rsidRPr="00EA7AEA">
        <w:rPr>
          <w:rFonts w:cs="Arial"/>
        </w:rPr>
        <w:t xml:space="preserve"> progress to market analysis:</w:t>
      </w:r>
      <w:r w:rsidRPr="00EA7AEA">
        <w:rPr>
          <w:rFonts w:cs="Arial"/>
        </w:rPr>
        <w:tab/>
      </w:r>
    </w:p>
    <w:p w:rsidR="005E2C79" w:rsidRPr="00EA7AEA" w:rsidRDefault="005E2C79" w:rsidP="005E2C79">
      <w:pPr>
        <w:jc w:val="both"/>
        <w:rPr>
          <w:rFonts w:cs="Arial"/>
        </w:rPr>
      </w:pPr>
    </w:p>
    <w:p w:rsidR="005E2C79" w:rsidRPr="00EA7AEA" w:rsidRDefault="005E2C79" w:rsidP="005E2C79">
      <w:pPr>
        <w:jc w:val="both"/>
        <w:rPr>
          <w:rFonts w:cs="Arial"/>
        </w:rPr>
      </w:pPr>
      <w:r w:rsidRPr="00EA7AEA">
        <w:rPr>
          <w:rFonts w:cs="Arial"/>
        </w:rPr>
        <w:t>4.2</w:t>
      </w:r>
      <w:r w:rsidRPr="00EA7AEA">
        <w:rPr>
          <w:rFonts w:cs="Arial"/>
        </w:rPr>
        <w:tab/>
        <w:t>Market Analysis:</w:t>
      </w:r>
    </w:p>
    <w:p w:rsidR="005E2C79" w:rsidRPr="00EA7AEA" w:rsidRDefault="005E2C79" w:rsidP="005E2C79">
      <w:pPr>
        <w:jc w:val="both"/>
        <w:rPr>
          <w:rFonts w:cs="Arial"/>
        </w:rPr>
      </w:pPr>
    </w:p>
    <w:p w:rsidR="005E2C79" w:rsidRPr="00EA7AEA" w:rsidRDefault="005E2C79" w:rsidP="005E2C79">
      <w:pPr>
        <w:jc w:val="both"/>
        <w:rPr>
          <w:rFonts w:cs="Arial"/>
        </w:rPr>
      </w:pPr>
      <w:r w:rsidRPr="00EA7AEA">
        <w:rPr>
          <w:rFonts w:cs="Arial"/>
        </w:rPr>
        <w:t xml:space="preserve">The </w:t>
      </w:r>
      <w:r w:rsidR="004E0086" w:rsidRPr="00EA7AEA">
        <w:rPr>
          <w:rFonts w:cs="Arial"/>
        </w:rPr>
        <w:t>G</w:t>
      </w:r>
      <w:r w:rsidR="0017238E" w:rsidRPr="00EA7AEA">
        <w:rPr>
          <w:rFonts w:cs="Arial"/>
        </w:rPr>
        <w:t>CCG</w:t>
      </w:r>
      <w:r w:rsidRPr="00EA7AEA">
        <w:rPr>
          <w:rFonts w:cs="Arial"/>
        </w:rPr>
        <w:t xml:space="preserve"> will adopt an eight step approach to market analysis as follows.</w:t>
      </w:r>
    </w:p>
    <w:p w:rsidR="005E2C79" w:rsidRPr="00EA7AEA" w:rsidRDefault="005E2C79" w:rsidP="005E2C79">
      <w:pPr>
        <w:ind w:left="1440"/>
        <w:jc w:val="both"/>
        <w:rPr>
          <w:rFonts w:cs="Arial"/>
        </w:rPr>
      </w:pPr>
    </w:p>
    <w:p w:rsidR="005E2C79" w:rsidRPr="00EA7AEA" w:rsidRDefault="005E2C79" w:rsidP="005E2C79">
      <w:pPr>
        <w:jc w:val="both"/>
        <w:rPr>
          <w:rFonts w:cs="Arial"/>
        </w:rPr>
      </w:pPr>
      <w:r w:rsidRPr="00EA7AEA">
        <w:rPr>
          <w:rFonts w:cs="Arial"/>
          <w:noProof/>
          <w:lang w:eastAsia="en-GB"/>
        </w:rPr>
        <w:drawing>
          <wp:inline distT="0" distB="0" distL="0" distR="0" wp14:anchorId="785A6175" wp14:editId="3E59C482">
            <wp:extent cx="5473700" cy="5280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EA7AEA">
        <w:rPr>
          <w:rFonts w:cs="Arial"/>
        </w:rPr>
        <w:t xml:space="preserve">                                                       </w:t>
      </w:r>
    </w:p>
    <w:p w:rsidR="005E2C79" w:rsidRPr="00EA7AEA" w:rsidRDefault="005E2C79" w:rsidP="005E2C79">
      <w:pPr>
        <w:jc w:val="both"/>
        <w:rPr>
          <w:rFonts w:cs="Arial"/>
        </w:rPr>
      </w:pPr>
      <w:r w:rsidRPr="00EA7AEA">
        <w:rPr>
          <w:rFonts w:cs="Arial"/>
        </w:rPr>
        <w:tab/>
      </w:r>
    </w:p>
    <w:p w:rsidR="005E2C79" w:rsidRPr="00EA7AEA" w:rsidRDefault="005E2C79" w:rsidP="005E2C79">
      <w:pPr>
        <w:jc w:val="both"/>
        <w:rPr>
          <w:rFonts w:cs="Arial"/>
        </w:rPr>
      </w:pPr>
      <w:r w:rsidRPr="00EA7AEA">
        <w:rPr>
          <w:rFonts w:cs="Arial"/>
        </w:rPr>
        <w:t xml:space="preserve">Delivering outputs for each of these steps will require joint working across the </w:t>
      </w:r>
      <w:r w:rsidR="00E2105F" w:rsidRPr="00EA7AEA">
        <w:rPr>
          <w:rFonts w:cs="Arial"/>
        </w:rPr>
        <w:t>G</w:t>
      </w:r>
      <w:r w:rsidR="0017238E" w:rsidRPr="00EA7AEA">
        <w:rPr>
          <w:rFonts w:cs="Arial"/>
        </w:rPr>
        <w:t>CCG</w:t>
      </w:r>
      <w:r w:rsidRPr="00EA7AEA">
        <w:rPr>
          <w:rFonts w:cs="Arial"/>
        </w:rPr>
        <w:t xml:space="preserve">. The </w:t>
      </w:r>
      <w:r w:rsidR="00E2105F" w:rsidRPr="00EA7AEA">
        <w:rPr>
          <w:rFonts w:cs="Arial"/>
        </w:rPr>
        <w:t>G</w:t>
      </w:r>
      <w:r w:rsidR="0017238E" w:rsidRPr="00EA7AEA">
        <w:rPr>
          <w:rFonts w:cs="Arial"/>
        </w:rPr>
        <w:t>CCG’</w:t>
      </w:r>
      <w:r w:rsidRPr="00EA7AEA">
        <w:rPr>
          <w:rFonts w:cs="Arial"/>
        </w:rPr>
        <w:t xml:space="preserve">s procurement team will support lead commissioners in understanding the tasks required to undertake market analysis. </w:t>
      </w:r>
    </w:p>
    <w:p w:rsidR="005E2C79" w:rsidRPr="00EA7AEA" w:rsidRDefault="005E2C79" w:rsidP="005E2C79">
      <w:pPr>
        <w:jc w:val="both"/>
        <w:rPr>
          <w:rFonts w:cs="Arial"/>
        </w:rPr>
      </w:pPr>
    </w:p>
    <w:p w:rsidR="0017238E" w:rsidRPr="00EA7AEA" w:rsidRDefault="0017238E" w:rsidP="005E2C79">
      <w:pPr>
        <w:jc w:val="both"/>
        <w:rPr>
          <w:rFonts w:cs="Arial"/>
        </w:rPr>
      </w:pPr>
    </w:p>
    <w:p w:rsidR="007115F7" w:rsidRPr="00EA7AEA" w:rsidRDefault="007115F7" w:rsidP="005E2C79">
      <w:pPr>
        <w:jc w:val="both"/>
        <w:rPr>
          <w:rFonts w:cs="Arial"/>
        </w:rPr>
      </w:pPr>
    </w:p>
    <w:p w:rsidR="005E2C79" w:rsidRPr="00EA7AEA" w:rsidRDefault="005E2C79" w:rsidP="005E2C79">
      <w:pPr>
        <w:jc w:val="both"/>
        <w:rPr>
          <w:rFonts w:cs="Arial"/>
        </w:rPr>
      </w:pPr>
      <w:r w:rsidRPr="00EA7AEA">
        <w:rPr>
          <w:rFonts w:cs="Arial"/>
        </w:rPr>
        <w:lastRenderedPageBreak/>
        <w:t>The outputs for each step are defined below:</w:t>
      </w:r>
    </w:p>
    <w:p w:rsidR="005E2C79" w:rsidRPr="00EA7AEA" w:rsidRDefault="005E2C79" w:rsidP="005E2C79">
      <w:pPr>
        <w:ind w:left="720"/>
        <w:jc w:val="both"/>
        <w:rPr>
          <w:rFonts w:cs="Arial"/>
        </w:rPr>
      </w:pPr>
    </w:p>
    <w:tbl>
      <w:tblPr>
        <w:tblStyle w:val="TableGrid"/>
        <w:tblW w:w="0" w:type="auto"/>
        <w:tblInd w:w="288" w:type="dxa"/>
        <w:tblLook w:val="01E0" w:firstRow="1" w:lastRow="1" w:firstColumn="1" w:lastColumn="1" w:noHBand="0" w:noVBand="0"/>
      </w:tblPr>
      <w:tblGrid>
        <w:gridCol w:w="2520"/>
        <w:gridCol w:w="5714"/>
      </w:tblGrid>
      <w:tr w:rsidR="00BE69CE" w:rsidRPr="00EA7AEA" w:rsidTr="00376CE4">
        <w:tc>
          <w:tcPr>
            <w:tcW w:w="2520" w:type="dxa"/>
            <w:vAlign w:val="center"/>
          </w:tcPr>
          <w:p w:rsidR="005E2C79" w:rsidRPr="00EA7AEA" w:rsidRDefault="005E2C79" w:rsidP="00376CE4">
            <w:pPr>
              <w:rPr>
                <w:rFonts w:cs="Arial"/>
                <w:b/>
                <w:sz w:val="20"/>
                <w:szCs w:val="20"/>
              </w:rPr>
            </w:pPr>
            <w:r w:rsidRPr="00EA7AEA">
              <w:rPr>
                <w:rFonts w:cs="Arial"/>
                <w:b/>
                <w:sz w:val="20"/>
                <w:szCs w:val="20"/>
              </w:rPr>
              <w:t xml:space="preserve">Agree </w:t>
            </w:r>
            <w:r w:rsidR="0017238E" w:rsidRPr="00EA7AEA">
              <w:rPr>
                <w:rFonts w:cs="Arial"/>
                <w:b/>
                <w:sz w:val="20"/>
                <w:szCs w:val="20"/>
              </w:rPr>
              <w:t>S</w:t>
            </w:r>
            <w:r w:rsidRPr="00EA7AEA">
              <w:rPr>
                <w:rFonts w:cs="Arial"/>
                <w:b/>
                <w:sz w:val="20"/>
                <w:szCs w:val="20"/>
              </w:rPr>
              <w:t>cope</w:t>
            </w:r>
          </w:p>
        </w:tc>
        <w:tc>
          <w:tcPr>
            <w:tcW w:w="5714" w:type="dxa"/>
          </w:tcPr>
          <w:p w:rsidR="005E2C79" w:rsidRPr="00EA7AEA" w:rsidRDefault="005E2C79" w:rsidP="00264B71">
            <w:pPr>
              <w:numPr>
                <w:ilvl w:val="0"/>
                <w:numId w:val="25"/>
              </w:numPr>
              <w:jc w:val="both"/>
              <w:rPr>
                <w:rFonts w:cs="Arial"/>
                <w:sz w:val="20"/>
                <w:szCs w:val="20"/>
              </w:rPr>
            </w:pPr>
            <w:r w:rsidRPr="00EA7AEA">
              <w:rPr>
                <w:rFonts w:cs="Arial"/>
                <w:sz w:val="20"/>
                <w:szCs w:val="20"/>
              </w:rPr>
              <w:t>Identify and clarify market segment area to be addressed:</w:t>
            </w:r>
          </w:p>
          <w:p w:rsidR="005E2C79" w:rsidRPr="00EA7AEA" w:rsidRDefault="005E2C79" w:rsidP="00264B71">
            <w:pPr>
              <w:pStyle w:val="ListParagraph"/>
              <w:numPr>
                <w:ilvl w:val="1"/>
                <w:numId w:val="63"/>
              </w:numPr>
              <w:ind w:left="594" w:hanging="283"/>
              <w:jc w:val="both"/>
              <w:rPr>
                <w:rFonts w:cs="Arial"/>
                <w:sz w:val="20"/>
                <w:szCs w:val="20"/>
              </w:rPr>
            </w:pPr>
            <w:r w:rsidRPr="00EA7AEA">
              <w:rPr>
                <w:rFonts w:cs="Arial"/>
                <w:sz w:val="20"/>
                <w:szCs w:val="20"/>
              </w:rPr>
              <w:t>geography</w:t>
            </w:r>
          </w:p>
          <w:p w:rsidR="005E2C79" w:rsidRPr="00EA7AEA" w:rsidRDefault="005E2C79" w:rsidP="00264B71">
            <w:pPr>
              <w:pStyle w:val="ListParagraph"/>
              <w:numPr>
                <w:ilvl w:val="1"/>
                <w:numId w:val="63"/>
              </w:numPr>
              <w:ind w:left="594" w:hanging="283"/>
              <w:jc w:val="both"/>
              <w:rPr>
                <w:rFonts w:cs="Arial"/>
                <w:sz w:val="20"/>
                <w:szCs w:val="20"/>
              </w:rPr>
            </w:pPr>
            <w:r w:rsidRPr="00EA7AEA">
              <w:rPr>
                <w:rFonts w:cs="Arial"/>
                <w:sz w:val="20"/>
                <w:szCs w:val="20"/>
              </w:rPr>
              <w:t>specific pathway</w:t>
            </w:r>
          </w:p>
          <w:p w:rsidR="005E2C79" w:rsidRPr="00EA7AEA" w:rsidRDefault="005E2C79" w:rsidP="00264B71">
            <w:pPr>
              <w:pStyle w:val="ListParagraph"/>
              <w:numPr>
                <w:ilvl w:val="1"/>
                <w:numId w:val="63"/>
              </w:numPr>
              <w:ind w:left="594" w:hanging="283"/>
              <w:jc w:val="both"/>
              <w:rPr>
                <w:rFonts w:cs="Arial"/>
                <w:sz w:val="20"/>
                <w:szCs w:val="20"/>
              </w:rPr>
            </w:pPr>
            <w:r w:rsidRPr="00EA7AEA">
              <w:rPr>
                <w:rFonts w:cs="Arial"/>
                <w:sz w:val="20"/>
                <w:szCs w:val="20"/>
              </w:rPr>
              <w:t>providers</w:t>
            </w:r>
          </w:p>
          <w:p w:rsidR="005E2C79" w:rsidRPr="00EA7AEA" w:rsidRDefault="005E2C79" w:rsidP="00264B71">
            <w:pPr>
              <w:pStyle w:val="ListParagraph"/>
              <w:numPr>
                <w:ilvl w:val="1"/>
                <w:numId w:val="63"/>
              </w:numPr>
              <w:ind w:left="594" w:hanging="283"/>
              <w:jc w:val="both"/>
              <w:rPr>
                <w:rFonts w:cs="Arial"/>
                <w:sz w:val="20"/>
                <w:szCs w:val="20"/>
              </w:rPr>
            </w:pPr>
            <w:r w:rsidRPr="00EA7AEA">
              <w:rPr>
                <w:rFonts w:cs="Arial"/>
                <w:sz w:val="20"/>
                <w:szCs w:val="20"/>
              </w:rPr>
              <w:t>competition and choice for patients</w:t>
            </w:r>
          </w:p>
          <w:p w:rsidR="005E2C79" w:rsidRPr="00EA7AEA" w:rsidRDefault="005E2C79" w:rsidP="00264B71">
            <w:pPr>
              <w:pStyle w:val="ListParagraph"/>
              <w:numPr>
                <w:ilvl w:val="0"/>
                <w:numId w:val="26"/>
              </w:numPr>
              <w:ind w:left="311" w:hanging="284"/>
              <w:jc w:val="both"/>
              <w:rPr>
                <w:rFonts w:cs="Arial"/>
                <w:sz w:val="20"/>
                <w:szCs w:val="20"/>
              </w:rPr>
            </w:pPr>
            <w:r w:rsidRPr="00EA7AEA">
              <w:rPr>
                <w:rFonts w:cs="Arial"/>
                <w:sz w:val="20"/>
                <w:szCs w:val="20"/>
              </w:rPr>
              <w:t>Agree which part of the overall system for that market segment will be reviewed:</w:t>
            </w:r>
          </w:p>
          <w:p w:rsidR="005E2C79" w:rsidRPr="00EA7AEA" w:rsidRDefault="005E2C79" w:rsidP="00264B71">
            <w:pPr>
              <w:pStyle w:val="ListParagraph"/>
              <w:numPr>
                <w:ilvl w:val="0"/>
                <w:numId w:val="64"/>
              </w:numPr>
              <w:jc w:val="both"/>
              <w:rPr>
                <w:rFonts w:cs="Arial"/>
                <w:sz w:val="20"/>
                <w:szCs w:val="20"/>
              </w:rPr>
            </w:pPr>
            <w:r w:rsidRPr="00EA7AEA">
              <w:rPr>
                <w:rFonts w:cs="Arial"/>
                <w:sz w:val="20"/>
                <w:szCs w:val="20"/>
              </w:rPr>
              <w:t>prevention</w:t>
            </w:r>
          </w:p>
          <w:p w:rsidR="005E2C79" w:rsidRPr="00EA7AEA" w:rsidRDefault="005E2C79" w:rsidP="00264B71">
            <w:pPr>
              <w:pStyle w:val="ListParagraph"/>
              <w:numPr>
                <w:ilvl w:val="0"/>
                <w:numId w:val="64"/>
              </w:numPr>
              <w:jc w:val="both"/>
              <w:rPr>
                <w:rFonts w:cs="Arial"/>
                <w:sz w:val="20"/>
                <w:szCs w:val="20"/>
              </w:rPr>
            </w:pPr>
            <w:r w:rsidRPr="00EA7AEA">
              <w:rPr>
                <w:rFonts w:cs="Arial"/>
                <w:sz w:val="20"/>
                <w:szCs w:val="20"/>
              </w:rPr>
              <w:t>assessment</w:t>
            </w:r>
          </w:p>
          <w:p w:rsidR="005E2C79" w:rsidRPr="00EA7AEA" w:rsidRDefault="005E2C79" w:rsidP="00264B71">
            <w:pPr>
              <w:pStyle w:val="ListParagraph"/>
              <w:numPr>
                <w:ilvl w:val="0"/>
                <w:numId w:val="64"/>
              </w:numPr>
              <w:jc w:val="both"/>
              <w:rPr>
                <w:rFonts w:cs="Arial"/>
                <w:sz w:val="20"/>
                <w:szCs w:val="20"/>
              </w:rPr>
            </w:pPr>
            <w:r w:rsidRPr="00EA7AEA">
              <w:rPr>
                <w:rFonts w:cs="Arial"/>
                <w:sz w:val="20"/>
                <w:szCs w:val="20"/>
              </w:rPr>
              <w:t>diagnostics</w:t>
            </w:r>
          </w:p>
          <w:p w:rsidR="005E2C79" w:rsidRPr="00EA7AEA" w:rsidRDefault="005E2C79" w:rsidP="00264B71">
            <w:pPr>
              <w:pStyle w:val="ListParagraph"/>
              <w:numPr>
                <w:ilvl w:val="0"/>
                <w:numId w:val="64"/>
              </w:numPr>
              <w:jc w:val="both"/>
              <w:rPr>
                <w:rFonts w:cs="Arial"/>
                <w:sz w:val="20"/>
                <w:szCs w:val="20"/>
              </w:rPr>
            </w:pPr>
            <w:r w:rsidRPr="00EA7AEA">
              <w:rPr>
                <w:rFonts w:cs="Arial"/>
                <w:sz w:val="20"/>
                <w:szCs w:val="20"/>
              </w:rPr>
              <w:t>intervention</w:t>
            </w:r>
          </w:p>
          <w:p w:rsidR="005E2C79" w:rsidRPr="00EA7AEA" w:rsidRDefault="005E2C79" w:rsidP="00264B71">
            <w:pPr>
              <w:pStyle w:val="ListParagraph"/>
              <w:numPr>
                <w:ilvl w:val="0"/>
                <w:numId w:val="64"/>
              </w:numPr>
              <w:jc w:val="both"/>
              <w:rPr>
                <w:rFonts w:cs="Arial"/>
                <w:sz w:val="20"/>
                <w:szCs w:val="20"/>
              </w:rPr>
            </w:pPr>
            <w:r w:rsidRPr="00EA7AEA">
              <w:rPr>
                <w:rFonts w:cs="Arial"/>
                <w:sz w:val="20"/>
                <w:szCs w:val="20"/>
              </w:rPr>
              <w:t>post acute</w:t>
            </w:r>
          </w:p>
        </w:tc>
      </w:tr>
      <w:tr w:rsidR="00BE69CE" w:rsidRPr="00EA7AEA" w:rsidTr="00376CE4">
        <w:tc>
          <w:tcPr>
            <w:tcW w:w="2520" w:type="dxa"/>
            <w:vAlign w:val="center"/>
          </w:tcPr>
          <w:p w:rsidR="005E2C79" w:rsidRPr="00EA7AEA" w:rsidRDefault="005E2C79" w:rsidP="00376CE4">
            <w:pPr>
              <w:rPr>
                <w:rFonts w:cs="Arial"/>
                <w:b/>
                <w:sz w:val="20"/>
                <w:szCs w:val="20"/>
              </w:rPr>
            </w:pPr>
            <w:r w:rsidRPr="00EA7AEA">
              <w:rPr>
                <w:rFonts w:cs="Arial"/>
                <w:b/>
                <w:sz w:val="20"/>
                <w:szCs w:val="20"/>
              </w:rPr>
              <w:t xml:space="preserve">Assess </w:t>
            </w:r>
            <w:r w:rsidR="0017238E" w:rsidRPr="00EA7AEA">
              <w:rPr>
                <w:rFonts w:cs="Arial"/>
                <w:b/>
                <w:sz w:val="20"/>
                <w:szCs w:val="20"/>
              </w:rPr>
              <w:t>M</w:t>
            </w:r>
            <w:r w:rsidRPr="00EA7AEA">
              <w:rPr>
                <w:rFonts w:cs="Arial"/>
                <w:b/>
                <w:sz w:val="20"/>
                <w:szCs w:val="20"/>
              </w:rPr>
              <w:t xml:space="preserve">arket </w:t>
            </w:r>
            <w:r w:rsidR="0017238E" w:rsidRPr="00EA7AEA">
              <w:rPr>
                <w:rFonts w:cs="Arial"/>
                <w:b/>
                <w:sz w:val="20"/>
                <w:szCs w:val="20"/>
              </w:rPr>
              <w:t>N</w:t>
            </w:r>
            <w:r w:rsidRPr="00EA7AEA">
              <w:rPr>
                <w:rFonts w:cs="Arial"/>
                <w:b/>
                <w:sz w:val="20"/>
                <w:szCs w:val="20"/>
              </w:rPr>
              <w:t xml:space="preserve">eeds </w:t>
            </w:r>
            <w:r w:rsidR="005817AD" w:rsidRPr="00EA7AEA">
              <w:rPr>
                <w:rFonts w:cs="Arial"/>
                <w:b/>
                <w:sz w:val="20"/>
                <w:szCs w:val="20"/>
              </w:rPr>
              <w:t>&amp;</w:t>
            </w:r>
            <w:r w:rsidR="0017238E" w:rsidRPr="00EA7AEA">
              <w:rPr>
                <w:rFonts w:cs="Arial"/>
                <w:b/>
                <w:sz w:val="20"/>
                <w:szCs w:val="20"/>
              </w:rPr>
              <w:t xml:space="preserve"> D</w:t>
            </w:r>
            <w:r w:rsidRPr="00EA7AEA">
              <w:rPr>
                <w:rFonts w:cs="Arial"/>
                <w:b/>
                <w:sz w:val="20"/>
                <w:szCs w:val="20"/>
              </w:rPr>
              <w:t>emand</w:t>
            </w:r>
          </w:p>
        </w:tc>
        <w:tc>
          <w:tcPr>
            <w:tcW w:w="5714" w:type="dxa"/>
          </w:tcPr>
          <w:p w:rsidR="005E2C79" w:rsidRPr="00EA7AEA" w:rsidRDefault="005E2C79" w:rsidP="00264B71">
            <w:pPr>
              <w:numPr>
                <w:ilvl w:val="0"/>
                <w:numId w:val="27"/>
              </w:numPr>
              <w:jc w:val="both"/>
              <w:rPr>
                <w:rFonts w:cs="Arial"/>
                <w:sz w:val="20"/>
                <w:szCs w:val="20"/>
              </w:rPr>
            </w:pPr>
            <w:r w:rsidRPr="00EA7AEA">
              <w:rPr>
                <w:rFonts w:cs="Arial"/>
                <w:sz w:val="20"/>
                <w:szCs w:val="20"/>
              </w:rPr>
              <w:t>What services are required</w:t>
            </w:r>
          </w:p>
          <w:p w:rsidR="005E2C79" w:rsidRPr="00EA7AEA" w:rsidRDefault="005E2C79" w:rsidP="00264B71">
            <w:pPr>
              <w:numPr>
                <w:ilvl w:val="0"/>
                <w:numId w:val="27"/>
              </w:numPr>
              <w:jc w:val="both"/>
              <w:rPr>
                <w:rFonts w:cs="Arial"/>
                <w:sz w:val="20"/>
                <w:szCs w:val="20"/>
              </w:rPr>
            </w:pPr>
            <w:r w:rsidRPr="00EA7AEA">
              <w:rPr>
                <w:rFonts w:cs="Arial"/>
                <w:sz w:val="20"/>
                <w:szCs w:val="20"/>
              </w:rPr>
              <w:t>How can these be delivered</w:t>
            </w:r>
          </w:p>
          <w:p w:rsidR="005E2C79" w:rsidRPr="00EA7AEA" w:rsidRDefault="005E2C79" w:rsidP="00264B71">
            <w:pPr>
              <w:numPr>
                <w:ilvl w:val="0"/>
                <w:numId w:val="27"/>
              </w:numPr>
              <w:jc w:val="both"/>
              <w:rPr>
                <w:rFonts w:cs="Arial"/>
                <w:sz w:val="20"/>
                <w:szCs w:val="20"/>
              </w:rPr>
            </w:pPr>
            <w:r w:rsidRPr="00EA7AEA">
              <w:rPr>
                <w:rFonts w:cs="Arial"/>
                <w:sz w:val="20"/>
                <w:szCs w:val="20"/>
              </w:rPr>
              <w:t>Where are services required</w:t>
            </w:r>
          </w:p>
          <w:p w:rsidR="005E2C79" w:rsidRPr="00EA7AEA" w:rsidRDefault="005E2C79" w:rsidP="00264B71">
            <w:pPr>
              <w:numPr>
                <w:ilvl w:val="0"/>
                <w:numId w:val="27"/>
              </w:numPr>
              <w:jc w:val="both"/>
              <w:rPr>
                <w:rFonts w:cs="Arial"/>
                <w:sz w:val="20"/>
                <w:szCs w:val="20"/>
              </w:rPr>
            </w:pPr>
            <w:r w:rsidRPr="00EA7AEA">
              <w:rPr>
                <w:rFonts w:cs="Arial"/>
                <w:sz w:val="20"/>
                <w:szCs w:val="20"/>
              </w:rPr>
              <w:t>How will needs/demands change or grow</w:t>
            </w:r>
          </w:p>
        </w:tc>
      </w:tr>
      <w:tr w:rsidR="00BE69CE" w:rsidRPr="00EA7AEA" w:rsidTr="00376CE4">
        <w:tc>
          <w:tcPr>
            <w:tcW w:w="2520" w:type="dxa"/>
            <w:vAlign w:val="center"/>
          </w:tcPr>
          <w:p w:rsidR="005E2C79" w:rsidRPr="00EA7AEA" w:rsidRDefault="005E2C79" w:rsidP="00376CE4">
            <w:pPr>
              <w:rPr>
                <w:rFonts w:cs="Arial"/>
                <w:b/>
                <w:sz w:val="20"/>
                <w:szCs w:val="20"/>
              </w:rPr>
            </w:pPr>
            <w:r w:rsidRPr="00EA7AEA">
              <w:rPr>
                <w:rFonts w:cs="Arial"/>
                <w:b/>
                <w:sz w:val="20"/>
                <w:szCs w:val="20"/>
              </w:rPr>
              <w:t xml:space="preserve">Assess </w:t>
            </w:r>
            <w:r w:rsidR="0017238E" w:rsidRPr="00EA7AEA">
              <w:rPr>
                <w:rFonts w:cs="Arial"/>
                <w:b/>
                <w:sz w:val="20"/>
                <w:szCs w:val="20"/>
              </w:rPr>
              <w:t>C</w:t>
            </w:r>
            <w:r w:rsidRPr="00EA7AEA">
              <w:rPr>
                <w:rFonts w:cs="Arial"/>
                <w:b/>
                <w:sz w:val="20"/>
                <w:szCs w:val="20"/>
              </w:rPr>
              <w:t xml:space="preserve">urrent </w:t>
            </w:r>
            <w:r w:rsidR="0017238E" w:rsidRPr="00EA7AEA">
              <w:rPr>
                <w:rFonts w:cs="Arial"/>
                <w:b/>
                <w:sz w:val="20"/>
                <w:szCs w:val="20"/>
              </w:rPr>
              <w:t>M</w:t>
            </w:r>
            <w:r w:rsidRPr="00EA7AEA">
              <w:rPr>
                <w:rFonts w:cs="Arial"/>
                <w:b/>
                <w:sz w:val="20"/>
                <w:szCs w:val="20"/>
              </w:rPr>
              <w:t xml:space="preserve">arket </w:t>
            </w:r>
            <w:r w:rsidR="0017238E" w:rsidRPr="00EA7AEA">
              <w:rPr>
                <w:rFonts w:cs="Arial"/>
                <w:b/>
                <w:sz w:val="20"/>
                <w:szCs w:val="20"/>
              </w:rPr>
              <w:t>P</w:t>
            </w:r>
            <w:r w:rsidRPr="00EA7AEA">
              <w:rPr>
                <w:rFonts w:cs="Arial"/>
                <w:b/>
                <w:sz w:val="20"/>
                <w:szCs w:val="20"/>
              </w:rPr>
              <w:t>erformance</w:t>
            </w:r>
          </w:p>
        </w:tc>
        <w:tc>
          <w:tcPr>
            <w:tcW w:w="5714" w:type="dxa"/>
          </w:tcPr>
          <w:p w:rsidR="005E2C79" w:rsidRPr="00EA7AEA" w:rsidRDefault="005E2C79" w:rsidP="00264B71">
            <w:pPr>
              <w:numPr>
                <w:ilvl w:val="0"/>
                <w:numId w:val="28"/>
              </w:numPr>
              <w:jc w:val="both"/>
              <w:rPr>
                <w:rFonts w:cs="Arial"/>
                <w:sz w:val="20"/>
                <w:szCs w:val="20"/>
              </w:rPr>
            </w:pPr>
            <w:r w:rsidRPr="00EA7AEA">
              <w:rPr>
                <w:rFonts w:cs="Arial"/>
                <w:sz w:val="20"/>
                <w:szCs w:val="20"/>
              </w:rPr>
              <w:t>Comparative analysis of existing providers</w:t>
            </w:r>
          </w:p>
          <w:p w:rsidR="005E2C79" w:rsidRPr="00EA7AEA" w:rsidRDefault="005E2C79" w:rsidP="00264B71">
            <w:pPr>
              <w:numPr>
                <w:ilvl w:val="0"/>
                <w:numId w:val="28"/>
              </w:numPr>
              <w:jc w:val="both"/>
              <w:rPr>
                <w:rFonts w:cs="Arial"/>
                <w:sz w:val="20"/>
                <w:szCs w:val="20"/>
              </w:rPr>
            </w:pPr>
            <w:r w:rsidRPr="00EA7AEA">
              <w:rPr>
                <w:rFonts w:cs="Arial"/>
                <w:sz w:val="20"/>
                <w:szCs w:val="20"/>
              </w:rPr>
              <w:t>Articulate performance issues</w:t>
            </w:r>
          </w:p>
        </w:tc>
      </w:tr>
      <w:tr w:rsidR="00BE69CE" w:rsidRPr="00EA7AEA" w:rsidTr="00376CE4">
        <w:tc>
          <w:tcPr>
            <w:tcW w:w="2520" w:type="dxa"/>
            <w:vAlign w:val="center"/>
          </w:tcPr>
          <w:p w:rsidR="005E2C79" w:rsidRPr="00EA7AEA" w:rsidRDefault="005E2C79" w:rsidP="00376CE4">
            <w:pPr>
              <w:rPr>
                <w:rFonts w:cs="Arial"/>
                <w:b/>
                <w:sz w:val="20"/>
                <w:szCs w:val="20"/>
              </w:rPr>
            </w:pPr>
            <w:r w:rsidRPr="00EA7AEA">
              <w:rPr>
                <w:rFonts w:cs="Arial"/>
                <w:b/>
                <w:sz w:val="20"/>
                <w:szCs w:val="20"/>
              </w:rPr>
              <w:t xml:space="preserve">Provider </w:t>
            </w:r>
            <w:r w:rsidR="0017238E" w:rsidRPr="00EA7AEA">
              <w:rPr>
                <w:rFonts w:cs="Arial"/>
                <w:b/>
                <w:sz w:val="20"/>
                <w:szCs w:val="20"/>
              </w:rPr>
              <w:t>A</w:t>
            </w:r>
            <w:r w:rsidRPr="00EA7AEA">
              <w:rPr>
                <w:rFonts w:cs="Arial"/>
                <w:b/>
                <w:sz w:val="20"/>
                <w:szCs w:val="20"/>
              </w:rPr>
              <w:t>nalysis</w:t>
            </w:r>
          </w:p>
        </w:tc>
        <w:tc>
          <w:tcPr>
            <w:tcW w:w="5714" w:type="dxa"/>
          </w:tcPr>
          <w:p w:rsidR="005E2C79" w:rsidRPr="00EA7AEA" w:rsidRDefault="005E2C79" w:rsidP="00264B71">
            <w:pPr>
              <w:numPr>
                <w:ilvl w:val="0"/>
                <w:numId w:val="29"/>
              </w:numPr>
              <w:jc w:val="both"/>
              <w:rPr>
                <w:rFonts w:cs="Arial"/>
                <w:sz w:val="20"/>
                <w:szCs w:val="20"/>
              </w:rPr>
            </w:pPr>
            <w:r w:rsidRPr="00EA7AEA">
              <w:rPr>
                <w:rFonts w:cs="Arial"/>
                <w:sz w:val="20"/>
                <w:szCs w:val="20"/>
              </w:rPr>
              <w:t>Map providers</w:t>
            </w:r>
          </w:p>
          <w:p w:rsidR="005E2C79" w:rsidRPr="00EA7AEA" w:rsidRDefault="005E2C79" w:rsidP="00264B71">
            <w:pPr>
              <w:pStyle w:val="ListParagraph"/>
              <w:numPr>
                <w:ilvl w:val="0"/>
                <w:numId w:val="65"/>
              </w:numPr>
              <w:jc w:val="both"/>
              <w:rPr>
                <w:rFonts w:cs="Arial"/>
                <w:sz w:val="20"/>
                <w:szCs w:val="20"/>
              </w:rPr>
            </w:pPr>
            <w:r w:rsidRPr="00EA7AEA">
              <w:rPr>
                <w:rFonts w:cs="Arial"/>
                <w:sz w:val="20"/>
                <w:szCs w:val="20"/>
              </w:rPr>
              <w:t>What capacity sits where</w:t>
            </w:r>
          </w:p>
          <w:p w:rsidR="005E2C79" w:rsidRPr="00EA7AEA" w:rsidRDefault="005E2C79" w:rsidP="00264B71">
            <w:pPr>
              <w:pStyle w:val="ListParagraph"/>
              <w:numPr>
                <w:ilvl w:val="0"/>
                <w:numId w:val="65"/>
              </w:numPr>
              <w:jc w:val="both"/>
              <w:rPr>
                <w:rFonts w:cs="Arial"/>
                <w:sz w:val="20"/>
                <w:szCs w:val="20"/>
              </w:rPr>
            </w:pPr>
            <w:r w:rsidRPr="00EA7AEA">
              <w:rPr>
                <w:rFonts w:cs="Arial"/>
                <w:sz w:val="20"/>
                <w:szCs w:val="20"/>
              </w:rPr>
              <w:t>What is the balance of spend/activity</w:t>
            </w:r>
          </w:p>
          <w:p w:rsidR="005E2C79" w:rsidRPr="00EA7AEA" w:rsidRDefault="005E2C79" w:rsidP="00264B71">
            <w:pPr>
              <w:pStyle w:val="ListParagraph"/>
              <w:numPr>
                <w:ilvl w:val="0"/>
                <w:numId w:val="65"/>
              </w:numPr>
              <w:jc w:val="both"/>
              <w:rPr>
                <w:rFonts w:cs="Arial"/>
                <w:sz w:val="20"/>
                <w:szCs w:val="20"/>
              </w:rPr>
            </w:pPr>
            <w:r w:rsidRPr="00EA7AEA">
              <w:rPr>
                <w:rFonts w:cs="Arial"/>
                <w:sz w:val="20"/>
                <w:szCs w:val="20"/>
              </w:rPr>
              <w:t>What access is there for the patient group</w:t>
            </w:r>
          </w:p>
          <w:p w:rsidR="005E2C79" w:rsidRPr="00EA7AEA" w:rsidRDefault="005E2C79" w:rsidP="00264B71">
            <w:pPr>
              <w:numPr>
                <w:ilvl w:val="0"/>
                <w:numId w:val="30"/>
              </w:numPr>
              <w:jc w:val="both"/>
              <w:rPr>
                <w:rFonts w:cs="Arial"/>
                <w:sz w:val="20"/>
                <w:szCs w:val="20"/>
              </w:rPr>
            </w:pPr>
            <w:r w:rsidRPr="00EA7AEA">
              <w:rPr>
                <w:rFonts w:cs="Arial"/>
                <w:sz w:val="20"/>
                <w:szCs w:val="20"/>
              </w:rPr>
              <w:t>Provider performance</w:t>
            </w:r>
          </w:p>
          <w:p w:rsidR="005E2C79" w:rsidRPr="00EA7AEA" w:rsidRDefault="005E2C79" w:rsidP="00264B71">
            <w:pPr>
              <w:pStyle w:val="ListParagraph"/>
              <w:numPr>
                <w:ilvl w:val="0"/>
                <w:numId w:val="66"/>
              </w:numPr>
              <w:ind w:firstLine="27"/>
              <w:jc w:val="both"/>
              <w:rPr>
                <w:rFonts w:cs="Arial"/>
                <w:sz w:val="20"/>
                <w:szCs w:val="20"/>
              </w:rPr>
            </w:pPr>
            <w:r w:rsidRPr="00EA7AEA">
              <w:rPr>
                <w:rFonts w:cs="Arial"/>
                <w:sz w:val="20"/>
                <w:szCs w:val="20"/>
              </w:rPr>
              <w:t xml:space="preserve">Do they meet </w:t>
            </w:r>
            <w:r w:rsidR="00E2105F" w:rsidRPr="00EA7AEA">
              <w:rPr>
                <w:rFonts w:cs="Arial"/>
                <w:sz w:val="20"/>
                <w:szCs w:val="20"/>
              </w:rPr>
              <w:t>G</w:t>
            </w:r>
            <w:r w:rsidR="0017238E" w:rsidRPr="00EA7AEA">
              <w:rPr>
                <w:rFonts w:cs="Arial"/>
                <w:sz w:val="20"/>
                <w:szCs w:val="20"/>
              </w:rPr>
              <w:t>CCG</w:t>
            </w:r>
            <w:r w:rsidRPr="00EA7AEA">
              <w:rPr>
                <w:rFonts w:cs="Arial"/>
                <w:sz w:val="20"/>
                <w:szCs w:val="20"/>
              </w:rPr>
              <w:t xml:space="preserve"> requirements</w:t>
            </w:r>
          </w:p>
          <w:p w:rsidR="005E2C79" w:rsidRPr="00EA7AEA" w:rsidRDefault="005E2C79" w:rsidP="00264B71">
            <w:pPr>
              <w:pStyle w:val="ListParagraph"/>
              <w:numPr>
                <w:ilvl w:val="0"/>
                <w:numId w:val="66"/>
              </w:numPr>
              <w:ind w:firstLine="27"/>
              <w:jc w:val="both"/>
              <w:rPr>
                <w:rFonts w:cs="Arial"/>
                <w:sz w:val="20"/>
                <w:szCs w:val="20"/>
              </w:rPr>
            </w:pPr>
            <w:r w:rsidRPr="00EA7AEA">
              <w:rPr>
                <w:rFonts w:cs="Arial"/>
                <w:sz w:val="20"/>
                <w:szCs w:val="20"/>
              </w:rPr>
              <w:t>Do they meet patient needs</w:t>
            </w:r>
          </w:p>
          <w:p w:rsidR="005E2C79" w:rsidRPr="00EA7AEA" w:rsidRDefault="005E2C79" w:rsidP="00264B71">
            <w:pPr>
              <w:pStyle w:val="ListParagraph"/>
              <w:numPr>
                <w:ilvl w:val="0"/>
                <w:numId w:val="66"/>
              </w:numPr>
              <w:ind w:firstLine="27"/>
              <w:jc w:val="both"/>
              <w:rPr>
                <w:rFonts w:cs="Arial"/>
                <w:sz w:val="20"/>
                <w:szCs w:val="20"/>
              </w:rPr>
            </w:pPr>
            <w:r w:rsidRPr="00EA7AEA">
              <w:rPr>
                <w:rFonts w:cs="Arial"/>
                <w:sz w:val="20"/>
                <w:szCs w:val="20"/>
              </w:rPr>
              <w:t>Why over or under performing</w:t>
            </w:r>
          </w:p>
          <w:p w:rsidR="005E2C79" w:rsidRPr="00EA7AEA" w:rsidRDefault="005E2C79" w:rsidP="00264B71">
            <w:pPr>
              <w:pStyle w:val="ListParagraph"/>
              <w:numPr>
                <w:ilvl w:val="0"/>
                <w:numId w:val="66"/>
              </w:numPr>
              <w:ind w:firstLine="27"/>
              <w:jc w:val="both"/>
              <w:rPr>
                <w:rFonts w:cs="Arial"/>
                <w:sz w:val="20"/>
                <w:szCs w:val="20"/>
              </w:rPr>
            </w:pPr>
            <w:r w:rsidRPr="00EA7AEA">
              <w:rPr>
                <w:rFonts w:cs="Arial"/>
                <w:sz w:val="20"/>
                <w:szCs w:val="20"/>
              </w:rPr>
              <w:t>What plans to improve</w:t>
            </w:r>
          </w:p>
        </w:tc>
      </w:tr>
      <w:tr w:rsidR="00BE69CE" w:rsidRPr="00EA7AEA" w:rsidTr="00376CE4">
        <w:tc>
          <w:tcPr>
            <w:tcW w:w="2520" w:type="dxa"/>
            <w:vAlign w:val="center"/>
          </w:tcPr>
          <w:p w:rsidR="005E2C79" w:rsidRPr="00EA7AEA" w:rsidRDefault="005E2C79" w:rsidP="00376CE4">
            <w:pPr>
              <w:rPr>
                <w:rFonts w:cs="Arial"/>
                <w:b/>
                <w:sz w:val="20"/>
                <w:szCs w:val="20"/>
              </w:rPr>
            </w:pPr>
            <w:r w:rsidRPr="00EA7AEA">
              <w:rPr>
                <w:rFonts w:cs="Arial"/>
                <w:b/>
                <w:sz w:val="20"/>
                <w:szCs w:val="20"/>
              </w:rPr>
              <w:t>Competitive Environment</w:t>
            </w:r>
          </w:p>
        </w:tc>
        <w:tc>
          <w:tcPr>
            <w:tcW w:w="5714" w:type="dxa"/>
          </w:tcPr>
          <w:p w:rsidR="005E2C79" w:rsidRPr="00EA7AEA" w:rsidRDefault="005E2C79" w:rsidP="00264B71">
            <w:pPr>
              <w:numPr>
                <w:ilvl w:val="0"/>
                <w:numId w:val="31"/>
              </w:numPr>
              <w:jc w:val="both"/>
              <w:rPr>
                <w:rFonts w:cs="Arial"/>
                <w:sz w:val="20"/>
                <w:szCs w:val="20"/>
              </w:rPr>
            </w:pPr>
            <w:r w:rsidRPr="00EA7AEA">
              <w:rPr>
                <w:rFonts w:cs="Arial"/>
                <w:sz w:val="20"/>
                <w:szCs w:val="20"/>
              </w:rPr>
              <w:t>Is there competition in the market</w:t>
            </w:r>
          </w:p>
          <w:p w:rsidR="005E2C79" w:rsidRPr="00EA7AEA" w:rsidRDefault="005E2C79" w:rsidP="00264B71">
            <w:pPr>
              <w:numPr>
                <w:ilvl w:val="0"/>
                <w:numId w:val="31"/>
              </w:numPr>
              <w:jc w:val="both"/>
              <w:rPr>
                <w:rFonts w:cs="Arial"/>
                <w:sz w:val="20"/>
                <w:szCs w:val="20"/>
              </w:rPr>
            </w:pPr>
            <w:r w:rsidRPr="00EA7AEA">
              <w:rPr>
                <w:rFonts w:cs="Arial"/>
                <w:sz w:val="20"/>
                <w:szCs w:val="20"/>
              </w:rPr>
              <w:t>What is the basis for competition</w:t>
            </w:r>
          </w:p>
          <w:p w:rsidR="005E2C79" w:rsidRPr="00EA7AEA" w:rsidRDefault="005E2C79" w:rsidP="00264B71">
            <w:pPr>
              <w:numPr>
                <w:ilvl w:val="0"/>
                <w:numId w:val="31"/>
              </w:numPr>
              <w:jc w:val="both"/>
              <w:rPr>
                <w:rFonts w:cs="Arial"/>
                <w:sz w:val="20"/>
                <w:szCs w:val="20"/>
              </w:rPr>
            </w:pPr>
            <w:r w:rsidRPr="00EA7AEA">
              <w:rPr>
                <w:rFonts w:cs="Arial"/>
                <w:sz w:val="20"/>
                <w:szCs w:val="20"/>
              </w:rPr>
              <w:t>Review barriers to entry or exit</w:t>
            </w:r>
          </w:p>
          <w:p w:rsidR="005E2C79" w:rsidRPr="00EA7AEA" w:rsidRDefault="005E2C79" w:rsidP="00264B71">
            <w:pPr>
              <w:numPr>
                <w:ilvl w:val="0"/>
                <w:numId w:val="31"/>
              </w:numPr>
              <w:jc w:val="both"/>
              <w:rPr>
                <w:rFonts w:cs="Arial"/>
                <w:sz w:val="20"/>
                <w:szCs w:val="20"/>
              </w:rPr>
            </w:pPr>
            <w:r w:rsidRPr="00EA7AEA">
              <w:rPr>
                <w:rFonts w:cs="Arial"/>
                <w:sz w:val="20"/>
                <w:szCs w:val="20"/>
              </w:rPr>
              <w:t>Who are the potential providers who could enter the market</w:t>
            </w:r>
          </w:p>
          <w:p w:rsidR="005E2C79" w:rsidRPr="00EA7AEA" w:rsidRDefault="005E2C79" w:rsidP="00264B71">
            <w:pPr>
              <w:numPr>
                <w:ilvl w:val="0"/>
                <w:numId w:val="31"/>
              </w:numPr>
              <w:jc w:val="both"/>
              <w:rPr>
                <w:rFonts w:cs="Arial"/>
                <w:sz w:val="20"/>
                <w:szCs w:val="20"/>
              </w:rPr>
            </w:pPr>
            <w:r w:rsidRPr="00EA7AEA">
              <w:rPr>
                <w:rFonts w:cs="Arial"/>
                <w:sz w:val="20"/>
                <w:szCs w:val="20"/>
              </w:rPr>
              <w:t>Are there examples of good practice elsewhere</w:t>
            </w:r>
          </w:p>
        </w:tc>
      </w:tr>
      <w:tr w:rsidR="00BE69CE" w:rsidRPr="00EA7AEA" w:rsidTr="00376CE4">
        <w:tc>
          <w:tcPr>
            <w:tcW w:w="2520" w:type="dxa"/>
            <w:vAlign w:val="center"/>
          </w:tcPr>
          <w:p w:rsidR="005E2C79" w:rsidRPr="00EA7AEA" w:rsidRDefault="005E2C79" w:rsidP="00376CE4">
            <w:pPr>
              <w:rPr>
                <w:rFonts w:cs="Arial"/>
                <w:b/>
                <w:sz w:val="20"/>
                <w:szCs w:val="20"/>
              </w:rPr>
            </w:pPr>
            <w:r w:rsidRPr="00EA7AEA">
              <w:rPr>
                <w:rFonts w:cs="Arial"/>
                <w:b/>
                <w:sz w:val="20"/>
                <w:szCs w:val="20"/>
              </w:rPr>
              <w:t xml:space="preserve">Map out a </w:t>
            </w:r>
            <w:r w:rsidR="0017238E" w:rsidRPr="00EA7AEA">
              <w:rPr>
                <w:rFonts w:cs="Arial"/>
                <w:b/>
                <w:sz w:val="20"/>
                <w:szCs w:val="20"/>
              </w:rPr>
              <w:t>P</w:t>
            </w:r>
            <w:r w:rsidRPr="00EA7AEA">
              <w:rPr>
                <w:rFonts w:cs="Arial"/>
                <w:b/>
                <w:sz w:val="20"/>
                <w:szCs w:val="20"/>
              </w:rPr>
              <w:t xml:space="preserve">referred </w:t>
            </w:r>
            <w:r w:rsidR="0017238E" w:rsidRPr="00EA7AEA">
              <w:rPr>
                <w:rFonts w:cs="Arial"/>
                <w:b/>
                <w:sz w:val="20"/>
                <w:szCs w:val="20"/>
              </w:rPr>
              <w:t>F</w:t>
            </w:r>
            <w:r w:rsidRPr="00EA7AEA">
              <w:rPr>
                <w:rFonts w:cs="Arial"/>
                <w:b/>
                <w:sz w:val="20"/>
                <w:szCs w:val="20"/>
              </w:rPr>
              <w:t xml:space="preserve">uture </w:t>
            </w:r>
            <w:r w:rsidR="0017238E" w:rsidRPr="00EA7AEA">
              <w:rPr>
                <w:rFonts w:cs="Arial"/>
                <w:b/>
                <w:sz w:val="20"/>
                <w:szCs w:val="20"/>
              </w:rPr>
              <w:t>L</w:t>
            </w:r>
            <w:r w:rsidRPr="00EA7AEA">
              <w:rPr>
                <w:rFonts w:cs="Arial"/>
                <w:b/>
                <w:sz w:val="20"/>
                <w:szCs w:val="20"/>
              </w:rPr>
              <w:t>andscape</w:t>
            </w:r>
          </w:p>
        </w:tc>
        <w:tc>
          <w:tcPr>
            <w:tcW w:w="5714" w:type="dxa"/>
          </w:tcPr>
          <w:p w:rsidR="005E2C79" w:rsidRPr="00EA7AEA" w:rsidRDefault="005E2C79" w:rsidP="00264B71">
            <w:pPr>
              <w:numPr>
                <w:ilvl w:val="0"/>
                <w:numId w:val="32"/>
              </w:numPr>
              <w:jc w:val="both"/>
              <w:rPr>
                <w:rFonts w:cs="Arial"/>
                <w:sz w:val="20"/>
                <w:szCs w:val="20"/>
              </w:rPr>
            </w:pPr>
            <w:r w:rsidRPr="00EA7AEA">
              <w:rPr>
                <w:rFonts w:cs="Arial"/>
                <w:sz w:val="20"/>
                <w:szCs w:val="20"/>
              </w:rPr>
              <w:t xml:space="preserve">What provision does the </w:t>
            </w:r>
            <w:r w:rsidR="00E2105F" w:rsidRPr="00EA7AEA">
              <w:rPr>
                <w:rFonts w:cs="Arial"/>
                <w:sz w:val="20"/>
                <w:szCs w:val="20"/>
              </w:rPr>
              <w:t>G</w:t>
            </w:r>
            <w:r w:rsidR="0017238E" w:rsidRPr="00EA7AEA">
              <w:rPr>
                <w:rFonts w:cs="Arial"/>
                <w:sz w:val="20"/>
                <w:szCs w:val="20"/>
              </w:rPr>
              <w:t>CCG</w:t>
            </w:r>
            <w:r w:rsidRPr="00EA7AEA">
              <w:rPr>
                <w:rFonts w:cs="Arial"/>
                <w:sz w:val="20"/>
                <w:szCs w:val="20"/>
              </w:rPr>
              <w:t xml:space="preserve"> want to see where</w:t>
            </w:r>
          </w:p>
          <w:p w:rsidR="005E2C79" w:rsidRPr="00EA7AEA" w:rsidRDefault="005E2C79" w:rsidP="00264B71">
            <w:pPr>
              <w:numPr>
                <w:ilvl w:val="0"/>
                <w:numId w:val="32"/>
              </w:numPr>
              <w:jc w:val="both"/>
              <w:rPr>
                <w:rFonts w:cs="Arial"/>
                <w:sz w:val="20"/>
                <w:szCs w:val="20"/>
              </w:rPr>
            </w:pPr>
            <w:r w:rsidRPr="00EA7AEA">
              <w:rPr>
                <w:rFonts w:cs="Arial"/>
                <w:sz w:val="20"/>
                <w:szCs w:val="20"/>
              </w:rPr>
              <w:t xml:space="preserve">What will the basis for performance measurement be </w:t>
            </w:r>
          </w:p>
          <w:p w:rsidR="005E2C79" w:rsidRPr="00EA7AEA" w:rsidRDefault="005E2C79" w:rsidP="00264B71">
            <w:pPr>
              <w:numPr>
                <w:ilvl w:val="0"/>
                <w:numId w:val="32"/>
              </w:numPr>
              <w:jc w:val="both"/>
              <w:rPr>
                <w:rFonts w:cs="Arial"/>
                <w:sz w:val="20"/>
                <w:szCs w:val="20"/>
              </w:rPr>
            </w:pPr>
            <w:r w:rsidRPr="00EA7AEA">
              <w:rPr>
                <w:rFonts w:cs="Arial"/>
                <w:sz w:val="20"/>
                <w:szCs w:val="20"/>
              </w:rPr>
              <w:t>Should it be contestable</w:t>
            </w:r>
          </w:p>
          <w:p w:rsidR="005E2C79" w:rsidRPr="00EA7AEA" w:rsidRDefault="00A64B10" w:rsidP="00A64B10">
            <w:pPr>
              <w:numPr>
                <w:ilvl w:val="0"/>
                <w:numId w:val="32"/>
              </w:numPr>
              <w:jc w:val="both"/>
              <w:rPr>
                <w:rFonts w:cs="Arial"/>
                <w:sz w:val="20"/>
                <w:szCs w:val="20"/>
              </w:rPr>
            </w:pPr>
            <w:r w:rsidRPr="00EA7AEA">
              <w:rPr>
                <w:rFonts w:cs="Arial"/>
                <w:sz w:val="20"/>
                <w:szCs w:val="20"/>
              </w:rPr>
              <w:t>S</w:t>
            </w:r>
            <w:r w:rsidR="005E2C79" w:rsidRPr="00EA7AEA">
              <w:rPr>
                <w:rFonts w:cs="Arial"/>
                <w:sz w:val="20"/>
                <w:szCs w:val="20"/>
              </w:rPr>
              <w:t>hould integration be encouraged at certain points of the system</w:t>
            </w:r>
          </w:p>
        </w:tc>
      </w:tr>
      <w:tr w:rsidR="00BE69CE" w:rsidRPr="00EA7AEA" w:rsidTr="00376CE4">
        <w:tc>
          <w:tcPr>
            <w:tcW w:w="2520" w:type="dxa"/>
            <w:vAlign w:val="center"/>
          </w:tcPr>
          <w:p w:rsidR="005E2C79" w:rsidRPr="00EA7AEA" w:rsidRDefault="005E2C79" w:rsidP="00376CE4">
            <w:pPr>
              <w:rPr>
                <w:rFonts w:cs="Arial"/>
                <w:b/>
                <w:sz w:val="20"/>
                <w:szCs w:val="20"/>
              </w:rPr>
            </w:pPr>
            <w:r w:rsidRPr="00EA7AEA">
              <w:rPr>
                <w:rFonts w:cs="Arial"/>
                <w:b/>
                <w:sz w:val="20"/>
                <w:szCs w:val="20"/>
              </w:rPr>
              <w:t xml:space="preserve">Assessment of </w:t>
            </w:r>
            <w:r w:rsidR="0017238E" w:rsidRPr="00EA7AEA">
              <w:rPr>
                <w:rFonts w:cs="Arial"/>
                <w:b/>
                <w:sz w:val="20"/>
                <w:szCs w:val="20"/>
              </w:rPr>
              <w:t>M</w:t>
            </w:r>
            <w:r w:rsidRPr="00EA7AEA">
              <w:rPr>
                <w:rFonts w:cs="Arial"/>
                <w:b/>
                <w:sz w:val="20"/>
                <w:szCs w:val="20"/>
              </w:rPr>
              <w:t xml:space="preserve">arket </w:t>
            </w:r>
            <w:r w:rsidR="0017238E" w:rsidRPr="00EA7AEA">
              <w:rPr>
                <w:rFonts w:cs="Arial"/>
                <w:b/>
                <w:sz w:val="20"/>
                <w:szCs w:val="20"/>
              </w:rPr>
              <w:t>In</w:t>
            </w:r>
            <w:r w:rsidRPr="00EA7AEA">
              <w:rPr>
                <w:rFonts w:cs="Arial"/>
                <w:b/>
                <w:sz w:val="20"/>
                <w:szCs w:val="20"/>
              </w:rPr>
              <w:t xml:space="preserve">tervention </w:t>
            </w:r>
            <w:r w:rsidR="0017238E" w:rsidRPr="00EA7AEA">
              <w:rPr>
                <w:rFonts w:cs="Arial"/>
                <w:b/>
                <w:sz w:val="20"/>
                <w:szCs w:val="20"/>
              </w:rPr>
              <w:t>L</w:t>
            </w:r>
            <w:r w:rsidRPr="00EA7AEA">
              <w:rPr>
                <w:rFonts w:cs="Arial"/>
                <w:b/>
                <w:sz w:val="20"/>
                <w:szCs w:val="20"/>
              </w:rPr>
              <w:t>evers</w:t>
            </w:r>
          </w:p>
        </w:tc>
        <w:tc>
          <w:tcPr>
            <w:tcW w:w="5714" w:type="dxa"/>
          </w:tcPr>
          <w:p w:rsidR="005E2C79" w:rsidRPr="00EA7AEA" w:rsidRDefault="005E2C79" w:rsidP="00264B71">
            <w:pPr>
              <w:numPr>
                <w:ilvl w:val="0"/>
                <w:numId w:val="33"/>
              </w:numPr>
              <w:jc w:val="both"/>
              <w:rPr>
                <w:rFonts w:cs="Arial"/>
                <w:sz w:val="20"/>
                <w:szCs w:val="20"/>
              </w:rPr>
            </w:pPr>
            <w:r w:rsidRPr="00EA7AEA">
              <w:rPr>
                <w:rFonts w:cs="Arial"/>
                <w:sz w:val="20"/>
                <w:szCs w:val="20"/>
              </w:rPr>
              <w:t xml:space="preserve">What can the </w:t>
            </w:r>
            <w:r w:rsidR="00E2105F" w:rsidRPr="00EA7AEA">
              <w:rPr>
                <w:rFonts w:cs="Arial"/>
                <w:sz w:val="20"/>
                <w:szCs w:val="20"/>
              </w:rPr>
              <w:t>G</w:t>
            </w:r>
            <w:r w:rsidR="0017238E" w:rsidRPr="00EA7AEA">
              <w:rPr>
                <w:rFonts w:cs="Arial"/>
                <w:sz w:val="20"/>
                <w:szCs w:val="20"/>
              </w:rPr>
              <w:t>CCG</w:t>
            </w:r>
            <w:r w:rsidRPr="00EA7AEA">
              <w:rPr>
                <w:rFonts w:cs="Arial"/>
                <w:sz w:val="20"/>
                <w:szCs w:val="20"/>
              </w:rPr>
              <w:t xml:space="preserve"> do to change the provider landscape:</w:t>
            </w:r>
          </w:p>
          <w:p w:rsidR="005E2C79" w:rsidRPr="00EA7AEA" w:rsidRDefault="005E2C79" w:rsidP="00264B71">
            <w:pPr>
              <w:pStyle w:val="ListParagraph"/>
              <w:numPr>
                <w:ilvl w:val="0"/>
                <w:numId w:val="67"/>
              </w:numPr>
              <w:ind w:firstLine="27"/>
              <w:jc w:val="both"/>
              <w:rPr>
                <w:rFonts w:cs="Arial"/>
                <w:sz w:val="20"/>
                <w:szCs w:val="20"/>
              </w:rPr>
            </w:pPr>
            <w:r w:rsidRPr="00EA7AEA">
              <w:rPr>
                <w:rFonts w:cs="Arial"/>
                <w:sz w:val="20"/>
                <w:szCs w:val="20"/>
              </w:rPr>
              <w:t>Competitive tendering</w:t>
            </w:r>
          </w:p>
          <w:p w:rsidR="005E2C79" w:rsidRPr="00EA7AEA" w:rsidRDefault="00A64B10" w:rsidP="00264B71">
            <w:pPr>
              <w:pStyle w:val="ListParagraph"/>
              <w:numPr>
                <w:ilvl w:val="0"/>
                <w:numId w:val="67"/>
              </w:numPr>
              <w:ind w:firstLine="27"/>
              <w:jc w:val="both"/>
              <w:rPr>
                <w:rFonts w:cs="Arial"/>
                <w:sz w:val="20"/>
                <w:szCs w:val="20"/>
              </w:rPr>
            </w:pPr>
            <w:r w:rsidRPr="00EA7AEA">
              <w:rPr>
                <w:rFonts w:cs="Arial"/>
                <w:sz w:val="20"/>
                <w:szCs w:val="20"/>
              </w:rPr>
              <w:t>C</w:t>
            </w:r>
            <w:r w:rsidR="005E2C79" w:rsidRPr="00EA7AEA">
              <w:rPr>
                <w:rFonts w:cs="Arial"/>
                <w:sz w:val="20"/>
                <w:szCs w:val="20"/>
              </w:rPr>
              <w:t>ontracting</w:t>
            </w:r>
          </w:p>
          <w:p w:rsidR="005E2C79" w:rsidRPr="00EA7AEA" w:rsidRDefault="005E2C79" w:rsidP="00264B71">
            <w:pPr>
              <w:pStyle w:val="ListParagraph"/>
              <w:numPr>
                <w:ilvl w:val="0"/>
                <w:numId w:val="67"/>
              </w:numPr>
              <w:ind w:firstLine="27"/>
              <w:jc w:val="both"/>
              <w:rPr>
                <w:rFonts w:cs="Arial"/>
                <w:sz w:val="20"/>
                <w:szCs w:val="20"/>
              </w:rPr>
            </w:pPr>
            <w:r w:rsidRPr="00EA7AEA">
              <w:rPr>
                <w:rFonts w:cs="Arial"/>
                <w:sz w:val="20"/>
                <w:szCs w:val="20"/>
              </w:rPr>
              <w:t>Talk to Providers</w:t>
            </w:r>
          </w:p>
          <w:p w:rsidR="005E2C79" w:rsidRPr="00EA7AEA" w:rsidRDefault="005E2C79" w:rsidP="00264B71">
            <w:pPr>
              <w:pStyle w:val="ListParagraph"/>
              <w:numPr>
                <w:ilvl w:val="0"/>
                <w:numId w:val="67"/>
              </w:numPr>
              <w:ind w:firstLine="27"/>
              <w:jc w:val="both"/>
              <w:rPr>
                <w:rFonts w:cs="Arial"/>
                <w:sz w:val="20"/>
                <w:szCs w:val="20"/>
              </w:rPr>
            </w:pPr>
            <w:r w:rsidRPr="00EA7AEA">
              <w:rPr>
                <w:rFonts w:cs="Arial"/>
                <w:sz w:val="20"/>
                <w:szCs w:val="20"/>
              </w:rPr>
              <w:t>Incentives</w:t>
            </w:r>
          </w:p>
          <w:p w:rsidR="005E2C79" w:rsidRPr="00EA7AEA" w:rsidRDefault="005E2C79" w:rsidP="00264B71">
            <w:pPr>
              <w:pStyle w:val="ListParagraph"/>
              <w:numPr>
                <w:ilvl w:val="0"/>
                <w:numId w:val="67"/>
              </w:numPr>
              <w:ind w:firstLine="27"/>
              <w:jc w:val="both"/>
              <w:rPr>
                <w:rFonts w:cs="Arial"/>
                <w:sz w:val="20"/>
                <w:szCs w:val="20"/>
              </w:rPr>
            </w:pPr>
            <w:r w:rsidRPr="00EA7AEA">
              <w:rPr>
                <w:rFonts w:cs="Arial"/>
                <w:sz w:val="20"/>
                <w:szCs w:val="20"/>
              </w:rPr>
              <w:t>Penalties</w:t>
            </w:r>
          </w:p>
        </w:tc>
      </w:tr>
      <w:tr w:rsidR="00BE69CE" w:rsidRPr="00EA7AEA" w:rsidTr="00376CE4">
        <w:tc>
          <w:tcPr>
            <w:tcW w:w="2520" w:type="dxa"/>
            <w:vAlign w:val="center"/>
          </w:tcPr>
          <w:p w:rsidR="005E2C79" w:rsidRPr="00EA7AEA" w:rsidRDefault="005E2C79" w:rsidP="00376CE4">
            <w:pPr>
              <w:rPr>
                <w:rFonts w:cs="Arial"/>
                <w:b/>
                <w:sz w:val="20"/>
                <w:szCs w:val="20"/>
              </w:rPr>
            </w:pPr>
            <w:r w:rsidRPr="00EA7AEA">
              <w:rPr>
                <w:rFonts w:cs="Arial"/>
                <w:b/>
                <w:sz w:val="20"/>
                <w:szCs w:val="20"/>
              </w:rPr>
              <w:t>Implementation Plan</w:t>
            </w:r>
          </w:p>
        </w:tc>
        <w:tc>
          <w:tcPr>
            <w:tcW w:w="5714" w:type="dxa"/>
          </w:tcPr>
          <w:p w:rsidR="005E2C79" w:rsidRPr="00EA7AEA" w:rsidRDefault="005E2C79" w:rsidP="00264B71">
            <w:pPr>
              <w:numPr>
                <w:ilvl w:val="0"/>
                <w:numId w:val="34"/>
              </w:numPr>
              <w:jc w:val="both"/>
              <w:rPr>
                <w:rFonts w:cs="Arial"/>
                <w:sz w:val="20"/>
                <w:szCs w:val="20"/>
              </w:rPr>
            </w:pPr>
            <w:r w:rsidRPr="00EA7AEA">
              <w:rPr>
                <w:rFonts w:cs="Arial"/>
                <w:sz w:val="20"/>
                <w:szCs w:val="20"/>
              </w:rPr>
              <w:t>What levers should be used by when</w:t>
            </w:r>
          </w:p>
          <w:p w:rsidR="005E2C79" w:rsidRPr="00EA7AEA" w:rsidRDefault="005E2C79" w:rsidP="00264B71">
            <w:pPr>
              <w:numPr>
                <w:ilvl w:val="0"/>
                <w:numId w:val="34"/>
              </w:numPr>
              <w:jc w:val="both"/>
              <w:rPr>
                <w:rFonts w:cs="Arial"/>
                <w:sz w:val="20"/>
                <w:szCs w:val="20"/>
              </w:rPr>
            </w:pPr>
            <w:r w:rsidRPr="00EA7AEA">
              <w:rPr>
                <w:rFonts w:cs="Arial"/>
                <w:sz w:val="20"/>
                <w:szCs w:val="20"/>
              </w:rPr>
              <w:t xml:space="preserve">How does the </w:t>
            </w:r>
            <w:r w:rsidR="00E2105F" w:rsidRPr="00EA7AEA">
              <w:rPr>
                <w:rFonts w:cs="Arial"/>
                <w:sz w:val="20"/>
                <w:szCs w:val="20"/>
              </w:rPr>
              <w:t>G</w:t>
            </w:r>
            <w:r w:rsidR="0017238E" w:rsidRPr="00EA7AEA">
              <w:rPr>
                <w:rFonts w:cs="Arial"/>
                <w:sz w:val="20"/>
                <w:szCs w:val="20"/>
              </w:rPr>
              <w:t>CCG</w:t>
            </w:r>
            <w:r w:rsidRPr="00EA7AEA">
              <w:rPr>
                <w:rFonts w:cs="Arial"/>
                <w:sz w:val="20"/>
                <w:szCs w:val="20"/>
              </w:rPr>
              <w:t xml:space="preserve"> want to monitor market performance </w:t>
            </w:r>
          </w:p>
          <w:p w:rsidR="005E2C79" w:rsidRPr="00EA7AEA" w:rsidRDefault="005E2C79" w:rsidP="00264B71">
            <w:pPr>
              <w:numPr>
                <w:ilvl w:val="0"/>
                <w:numId w:val="34"/>
              </w:numPr>
              <w:jc w:val="both"/>
              <w:rPr>
                <w:rFonts w:cs="Arial"/>
                <w:sz w:val="20"/>
                <w:szCs w:val="20"/>
              </w:rPr>
            </w:pPr>
            <w:r w:rsidRPr="00EA7AEA">
              <w:rPr>
                <w:rFonts w:cs="Arial"/>
                <w:sz w:val="20"/>
                <w:szCs w:val="20"/>
              </w:rPr>
              <w:t xml:space="preserve">What information does the </w:t>
            </w:r>
            <w:r w:rsidR="00E2105F" w:rsidRPr="00EA7AEA">
              <w:rPr>
                <w:rFonts w:cs="Arial"/>
                <w:sz w:val="20"/>
                <w:szCs w:val="20"/>
              </w:rPr>
              <w:t>G</w:t>
            </w:r>
            <w:r w:rsidR="0017238E" w:rsidRPr="00EA7AEA">
              <w:rPr>
                <w:rFonts w:cs="Arial"/>
                <w:sz w:val="20"/>
                <w:szCs w:val="20"/>
              </w:rPr>
              <w:t>CCG</w:t>
            </w:r>
            <w:r w:rsidRPr="00EA7AEA">
              <w:rPr>
                <w:rFonts w:cs="Arial"/>
                <w:sz w:val="20"/>
                <w:szCs w:val="20"/>
              </w:rPr>
              <w:t xml:space="preserve"> need to do this better in the future</w:t>
            </w:r>
          </w:p>
        </w:tc>
      </w:tr>
    </w:tbl>
    <w:p w:rsidR="005E2C79" w:rsidRPr="00EA7AEA" w:rsidRDefault="005E2C79" w:rsidP="005E2C79">
      <w:pPr>
        <w:ind w:left="720"/>
        <w:jc w:val="both"/>
        <w:rPr>
          <w:rFonts w:cs="Arial"/>
        </w:rPr>
      </w:pPr>
    </w:p>
    <w:p w:rsidR="005E2C79" w:rsidRPr="00EA7AEA" w:rsidRDefault="005E2C79" w:rsidP="005E2C79">
      <w:pPr>
        <w:jc w:val="both"/>
        <w:rPr>
          <w:rFonts w:cs="Arial"/>
        </w:rPr>
      </w:pPr>
      <w:r w:rsidRPr="00EA7AEA">
        <w:rPr>
          <w:rFonts w:cs="Arial"/>
        </w:rPr>
        <w:t>4.3</w:t>
      </w:r>
      <w:r w:rsidRPr="00EA7AEA">
        <w:rPr>
          <w:rFonts w:cs="Arial"/>
        </w:rPr>
        <w:tab/>
        <w:t>Market Development</w:t>
      </w:r>
      <w:r w:rsidR="00EF5A4C" w:rsidRPr="00EA7AEA">
        <w:rPr>
          <w:rFonts w:cs="Arial"/>
        </w:rPr>
        <w:t>:</w:t>
      </w:r>
    </w:p>
    <w:p w:rsidR="005E2C79" w:rsidRPr="00EA7AEA" w:rsidRDefault="005E2C79" w:rsidP="005E2C79">
      <w:pPr>
        <w:ind w:left="720"/>
        <w:jc w:val="both"/>
        <w:rPr>
          <w:rFonts w:cs="Arial"/>
        </w:rPr>
      </w:pPr>
    </w:p>
    <w:p w:rsidR="005E2C79" w:rsidRPr="00EA7AEA" w:rsidRDefault="005E2C79" w:rsidP="005E2C79">
      <w:pPr>
        <w:jc w:val="both"/>
        <w:rPr>
          <w:rFonts w:cs="Arial"/>
        </w:rPr>
      </w:pPr>
      <w:r w:rsidRPr="00EA7AEA">
        <w:rPr>
          <w:rFonts w:cs="Arial"/>
        </w:rPr>
        <w:t xml:space="preserve">The aim of provider development activity is to encourage a range of providers, willing and capable of responding to </w:t>
      </w:r>
      <w:r w:rsidR="00E2105F" w:rsidRPr="00EA7AEA">
        <w:rPr>
          <w:rFonts w:cs="Arial"/>
        </w:rPr>
        <w:t>G</w:t>
      </w:r>
      <w:r w:rsidR="0017238E" w:rsidRPr="00EA7AEA">
        <w:rPr>
          <w:rFonts w:cs="Arial"/>
        </w:rPr>
        <w:t>CCG</w:t>
      </w:r>
      <w:r w:rsidRPr="00EA7AEA">
        <w:rPr>
          <w:rFonts w:cs="Arial"/>
        </w:rPr>
        <w:t xml:space="preserve"> contracting opportunities and hence facilitating the commissioning of services of a high quality and which demonstrate effective use of NHS resources.</w:t>
      </w:r>
    </w:p>
    <w:p w:rsidR="005E2C79" w:rsidRPr="00EA7AEA" w:rsidRDefault="005E2C79" w:rsidP="005E2C79">
      <w:pPr>
        <w:ind w:left="1440"/>
        <w:jc w:val="both"/>
        <w:rPr>
          <w:rFonts w:cs="Arial"/>
        </w:rPr>
      </w:pPr>
    </w:p>
    <w:p w:rsidR="005E2C79" w:rsidRPr="00EA7AEA" w:rsidRDefault="005E2C79" w:rsidP="005E2C79">
      <w:pPr>
        <w:jc w:val="both"/>
        <w:rPr>
          <w:rFonts w:cs="Arial"/>
        </w:rPr>
      </w:pPr>
      <w:r w:rsidRPr="00EA7AEA">
        <w:rPr>
          <w:rFonts w:cs="Arial"/>
        </w:rPr>
        <w:lastRenderedPageBreak/>
        <w:t>As services are reviewed and potentially redesigned and as commissioners gain a greater understanding of the needs of their patients, the provider</w:t>
      </w:r>
      <w:r w:rsidR="00473E46" w:rsidRPr="00EA7AEA">
        <w:rPr>
          <w:rFonts w:cs="Arial"/>
        </w:rPr>
        <w:t>(s)</w:t>
      </w:r>
      <w:r w:rsidRPr="00EA7AEA">
        <w:rPr>
          <w:rFonts w:cs="Arial"/>
        </w:rPr>
        <w:t xml:space="preserve"> best placed to deliver the needs of the patient may well be different from the current service provider</w:t>
      </w:r>
      <w:r w:rsidR="00473E46" w:rsidRPr="00EA7AEA">
        <w:rPr>
          <w:rFonts w:cs="Arial"/>
        </w:rPr>
        <w:t>(s)</w:t>
      </w:r>
      <w:r w:rsidRPr="00EA7AEA">
        <w:rPr>
          <w:rFonts w:cs="Arial"/>
        </w:rPr>
        <w:t xml:space="preserve">, this will only be possible if there are effective and willing providers in the market capable of responding to </w:t>
      </w:r>
      <w:r w:rsidR="00E2105F" w:rsidRPr="00EA7AEA">
        <w:rPr>
          <w:rFonts w:cs="Arial"/>
        </w:rPr>
        <w:t>G</w:t>
      </w:r>
      <w:r w:rsidR="00EF4FDC" w:rsidRPr="00EA7AEA">
        <w:rPr>
          <w:rFonts w:cs="Arial"/>
        </w:rPr>
        <w:t>CCG</w:t>
      </w:r>
      <w:r w:rsidRPr="00EA7AEA">
        <w:rPr>
          <w:rFonts w:cs="Arial"/>
        </w:rPr>
        <w:t xml:space="preserve"> contracting opportunities.</w:t>
      </w:r>
    </w:p>
    <w:p w:rsidR="005E2C79" w:rsidRPr="00EA7AEA" w:rsidRDefault="005E2C79" w:rsidP="005E2C79">
      <w:pPr>
        <w:ind w:left="1440"/>
        <w:jc w:val="both"/>
        <w:rPr>
          <w:rFonts w:cs="Arial"/>
        </w:rPr>
      </w:pPr>
    </w:p>
    <w:p w:rsidR="005E2C79" w:rsidRPr="00EA7AEA" w:rsidRDefault="00E2105F" w:rsidP="005E2C79">
      <w:pPr>
        <w:jc w:val="both"/>
        <w:rPr>
          <w:rFonts w:cs="Arial"/>
        </w:rPr>
      </w:pPr>
      <w:r w:rsidRPr="00EA7AEA">
        <w:rPr>
          <w:rFonts w:cs="Arial"/>
        </w:rPr>
        <w:t>G</w:t>
      </w:r>
      <w:r w:rsidR="00EF4FDC" w:rsidRPr="00EA7AEA">
        <w:rPr>
          <w:rFonts w:cs="Arial"/>
        </w:rPr>
        <w:t>CCG</w:t>
      </w:r>
      <w:r w:rsidR="005E2C79" w:rsidRPr="00EA7AEA">
        <w:rPr>
          <w:rFonts w:cs="Arial"/>
        </w:rPr>
        <w:t xml:space="preserve"> Procurement </w:t>
      </w:r>
      <w:r w:rsidR="00EF4FDC" w:rsidRPr="00EA7AEA">
        <w:rPr>
          <w:rFonts w:cs="Arial"/>
        </w:rPr>
        <w:t xml:space="preserve">staffs </w:t>
      </w:r>
      <w:r w:rsidR="005E2C79" w:rsidRPr="00EA7AEA">
        <w:rPr>
          <w:rFonts w:cs="Arial"/>
        </w:rPr>
        <w:t xml:space="preserve">and </w:t>
      </w:r>
      <w:r w:rsidR="00EF4FDC" w:rsidRPr="00EA7AEA">
        <w:rPr>
          <w:rFonts w:cs="Arial"/>
        </w:rPr>
        <w:t xml:space="preserve">CSU </w:t>
      </w:r>
      <w:r w:rsidR="005E2C79" w:rsidRPr="00EA7AEA">
        <w:rPr>
          <w:rFonts w:cs="Arial"/>
        </w:rPr>
        <w:t xml:space="preserve">Contracting </w:t>
      </w:r>
      <w:r w:rsidR="00EF4FDC" w:rsidRPr="00EA7AEA">
        <w:rPr>
          <w:rFonts w:cs="Arial"/>
        </w:rPr>
        <w:t>staffs</w:t>
      </w:r>
      <w:r w:rsidR="005E2C79" w:rsidRPr="00EA7AEA">
        <w:rPr>
          <w:rFonts w:cs="Arial"/>
        </w:rPr>
        <w:t xml:space="preserve"> will undertake a number of activities to support the development of existing and potential providers.</w:t>
      </w:r>
    </w:p>
    <w:p w:rsidR="005E2C79" w:rsidRPr="00EA7AEA" w:rsidRDefault="005E2C79" w:rsidP="005E2C79">
      <w:pPr>
        <w:ind w:left="1440"/>
        <w:jc w:val="both"/>
        <w:rPr>
          <w:rFonts w:cs="Arial"/>
        </w:rPr>
      </w:pPr>
    </w:p>
    <w:p w:rsidR="005E2C79" w:rsidRPr="00EA7AEA" w:rsidRDefault="005E2C79" w:rsidP="00264B71">
      <w:pPr>
        <w:numPr>
          <w:ilvl w:val="0"/>
          <w:numId w:val="35"/>
        </w:numPr>
        <w:jc w:val="both"/>
        <w:rPr>
          <w:rFonts w:cs="Arial"/>
        </w:rPr>
      </w:pPr>
      <w:r w:rsidRPr="00EA7AEA">
        <w:rPr>
          <w:rFonts w:cs="Arial"/>
        </w:rPr>
        <w:t xml:space="preserve">Develop and manage its relationship with existing and potential providers, including all sectors (NHS, </w:t>
      </w:r>
      <w:r w:rsidR="00EF4FDC" w:rsidRPr="00EA7AEA">
        <w:rPr>
          <w:rFonts w:cs="Arial"/>
        </w:rPr>
        <w:t>P</w:t>
      </w:r>
      <w:r w:rsidRPr="00EA7AEA">
        <w:rPr>
          <w:rFonts w:cs="Arial"/>
        </w:rPr>
        <w:t xml:space="preserve">rivate / </w:t>
      </w:r>
      <w:r w:rsidR="00EF4FDC" w:rsidRPr="00EA7AEA">
        <w:rPr>
          <w:rFonts w:cs="Arial"/>
        </w:rPr>
        <w:t>C</w:t>
      </w:r>
      <w:r w:rsidRPr="00EA7AEA">
        <w:rPr>
          <w:rFonts w:cs="Arial"/>
        </w:rPr>
        <w:t>ommercial and Voluntary / Third Sector organisations)</w:t>
      </w:r>
    </w:p>
    <w:p w:rsidR="005E2C79" w:rsidRPr="00EA7AEA" w:rsidRDefault="005E2C79" w:rsidP="005E2C79">
      <w:pPr>
        <w:ind w:left="720"/>
        <w:jc w:val="both"/>
        <w:rPr>
          <w:rFonts w:cs="Arial"/>
        </w:rPr>
      </w:pPr>
    </w:p>
    <w:p w:rsidR="005E2C79" w:rsidRPr="00EA7AEA" w:rsidRDefault="005E2C79" w:rsidP="00264B71">
      <w:pPr>
        <w:numPr>
          <w:ilvl w:val="0"/>
          <w:numId w:val="35"/>
        </w:numPr>
        <w:jc w:val="both"/>
        <w:rPr>
          <w:rFonts w:cs="Arial"/>
        </w:rPr>
      </w:pPr>
      <w:r w:rsidRPr="00EA7AEA">
        <w:rPr>
          <w:rFonts w:cs="Arial"/>
        </w:rPr>
        <w:t xml:space="preserve">Advertise for new and potential providers using </w:t>
      </w:r>
      <w:r w:rsidR="00473E46" w:rsidRPr="00EA7AEA">
        <w:rPr>
          <w:rFonts w:cs="Arial"/>
        </w:rPr>
        <w:t xml:space="preserve">both traditional procurement processes and </w:t>
      </w:r>
      <w:r w:rsidRPr="00EA7AEA">
        <w:rPr>
          <w:rFonts w:cs="Arial"/>
        </w:rPr>
        <w:t xml:space="preserve">the “Any </w:t>
      </w:r>
      <w:r w:rsidR="00EF4FDC" w:rsidRPr="00EA7AEA">
        <w:rPr>
          <w:rFonts w:cs="Arial"/>
        </w:rPr>
        <w:t xml:space="preserve">Qualified </w:t>
      </w:r>
      <w:r w:rsidRPr="00EA7AEA">
        <w:rPr>
          <w:rFonts w:cs="Arial"/>
        </w:rPr>
        <w:t xml:space="preserve">Provider” </w:t>
      </w:r>
      <w:r w:rsidR="00473E46" w:rsidRPr="00EA7AEA">
        <w:rPr>
          <w:rFonts w:cs="Arial"/>
        </w:rPr>
        <w:t xml:space="preserve">procurement </w:t>
      </w:r>
      <w:r w:rsidRPr="00EA7AEA">
        <w:rPr>
          <w:rFonts w:cs="Arial"/>
        </w:rPr>
        <w:t>routes</w:t>
      </w:r>
    </w:p>
    <w:p w:rsidR="005E2C79" w:rsidRPr="00EA7AEA" w:rsidRDefault="005E2C79" w:rsidP="005E2C79">
      <w:pPr>
        <w:jc w:val="both"/>
        <w:rPr>
          <w:rFonts w:cs="Arial"/>
        </w:rPr>
      </w:pPr>
    </w:p>
    <w:p w:rsidR="005E2C79" w:rsidRPr="00EA7AEA" w:rsidRDefault="005E2C79" w:rsidP="00264B71">
      <w:pPr>
        <w:numPr>
          <w:ilvl w:val="0"/>
          <w:numId w:val="35"/>
        </w:numPr>
        <w:jc w:val="both"/>
        <w:rPr>
          <w:rFonts w:cs="Arial"/>
        </w:rPr>
      </w:pPr>
      <w:r w:rsidRPr="00EA7AEA">
        <w:rPr>
          <w:rFonts w:cs="Arial"/>
        </w:rPr>
        <w:t>Provide advice to potential providers on the qualification and assurance process required to become a local provider of NHS Services</w:t>
      </w:r>
    </w:p>
    <w:p w:rsidR="005E2C79" w:rsidRPr="00EA7AEA" w:rsidRDefault="005E2C79" w:rsidP="005E2C79">
      <w:pPr>
        <w:jc w:val="both"/>
        <w:rPr>
          <w:rFonts w:cs="Arial"/>
        </w:rPr>
      </w:pPr>
    </w:p>
    <w:p w:rsidR="005E2C79" w:rsidRPr="00EA7AEA" w:rsidRDefault="005E2C79" w:rsidP="00264B71">
      <w:pPr>
        <w:numPr>
          <w:ilvl w:val="0"/>
          <w:numId w:val="35"/>
        </w:numPr>
        <w:jc w:val="both"/>
        <w:rPr>
          <w:rFonts w:cs="Arial"/>
        </w:rPr>
      </w:pPr>
      <w:r w:rsidRPr="00EA7AEA">
        <w:rPr>
          <w:rFonts w:cs="Arial"/>
        </w:rPr>
        <w:t>Proactively shape the market through dialogue and procurement</w:t>
      </w:r>
    </w:p>
    <w:p w:rsidR="005E2C79" w:rsidRPr="00EA7AEA" w:rsidRDefault="005E2C79" w:rsidP="005E2C79">
      <w:pPr>
        <w:jc w:val="both"/>
        <w:rPr>
          <w:rFonts w:cs="Arial"/>
        </w:rPr>
      </w:pPr>
    </w:p>
    <w:p w:rsidR="005E2C79" w:rsidRPr="00EA7AEA" w:rsidRDefault="005E2C79" w:rsidP="00264B71">
      <w:pPr>
        <w:numPr>
          <w:ilvl w:val="0"/>
          <w:numId w:val="35"/>
        </w:numPr>
        <w:jc w:val="both"/>
        <w:rPr>
          <w:rFonts w:cs="Arial"/>
        </w:rPr>
      </w:pPr>
      <w:r w:rsidRPr="00EA7AEA">
        <w:rPr>
          <w:rFonts w:cs="Arial"/>
        </w:rPr>
        <w:t xml:space="preserve">Qualify providers who are interested in providing services to support the </w:t>
      </w:r>
      <w:r w:rsidR="00E2105F" w:rsidRPr="00EA7AEA">
        <w:rPr>
          <w:rFonts w:cs="Arial"/>
        </w:rPr>
        <w:t>G</w:t>
      </w:r>
      <w:r w:rsidR="00EF4FDC" w:rsidRPr="00EA7AEA">
        <w:rPr>
          <w:rFonts w:cs="Arial"/>
        </w:rPr>
        <w:t>CCG’</w:t>
      </w:r>
      <w:r w:rsidRPr="00EA7AEA">
        <w:rPr>
          <w:rFonts w:cs="Arial"/>
        </w:rPr>
        <w:t>s commissioning intentions. This will include an assessment of the providers capacity and capability to meet the minimum standards required to deliver NHS care</w:t>
      </w:r>
    </w:p>
    <w:p w:rsidR="005E2C79" w:rsidRPr="00EA7AEA" w:rsidRDefault="005E2C79" w:rsidP="005E2C79">
      <w:pPr>
        <w:jc w:val="both"/>
        <w:rPr>
          <w:rFonts w:cs="Arial"/>
        </w:rPr>
      </w:pPr>
    </w:p>
    <w:p w:rsidR="005E2C79" w:rsidRPr="00EA7AEA" w:rsidRDefault="005E2C79" w:rsidP="00264B71">
      <w:pPr>
        <w:numPr>
          <w:ilvl w:val="0"/>
          <w:numId w:val="35"/>
        </w:numPr>
        <w:jc w:val="both"/>
        <w:rPr>
          <w:rFonts w:cs="Arial"/>
        </w:rPr>
      </w:pPr>
      <w:r w:rsidRPr="00EA7AEA">
        <w:rPr>
          <w:rFonts w:cs="Arial"/>
        </w:rPr>
        <w:t>Ensure that appropriate support is available to providers to facilitate their involvement in the procurement process.</w:t>
      </w:r>
    </w:p>
    <w:p w:rsidR="005E2C79" w:rsidRPr="00EA7AEA" w:rsidRDefault="005E2C79" w:rsidP="005E2C79">
      <w:pPr>
        <w:jc w:val="both"/>
        <w:rPr>
          <w:rFonts w:cs="Arial"/>
        </w:rPr>
      </w:pPr>
    </w:p>
    <w:p w:rsidR="005E2C79" w:rsidRPr="00EA7AEA" w:rsidRDefault="005E2C79" w:rsidP="00F307E3">
      <w:pPr>
        <w:ind w:left="709" w:hanging="709"/>
        <w:jc w:val="both"/>
        <w:rPr>
          <w:rFonts w:cs="Arial"/>
        </w:rPr>
      </w:pPr>
      <w:r w:rsidRPr="00EA7AEA">
        <w:rPr>
          <w:rFonts w:cs="Arial"/>
        </w:rPr>
        <w:t>5</w:t>
      </w:r>
      <w:r w:rsidRPr="00EA7AEA">
        <w:rPr>
          <w:rFonts w:cs="Arial"/>
        </w:rPr>
        <w:tab/>
      </w:r>
      <w:r w:rsidRPr="00EA7AEA">
        <w:rPr>
          <w:rFonts w:cs="Arial"/>
          <w:u w:val="single"/>
        </w:rPr>
        <w:t>Developing Provider Competence and Capability</w:t>
      </w:r>
      <w:r w:rsidR="007115F7" w:rsidRPr="00EA7AEA">
        <w:rPr>
          <w:rFonts w:cs="Arial"/>
          <w:u w:val="single"/>
        </w:rPr>
        <w:t>:</w:t>
      </w:r>
    </w:p>
    <w:p w:rsidR="005E2C79" w:rsidRPr="00EA7AEA" w:rsidRDefault="005E2C79" w:rsidP="005E2C79">
      <w:pPr>
        <w:jc w:val="both"/>
        <w:rPr>
          <w:rFonts w:cs="Arial"/>
        </w:rPr>
      </w:pPr>
    </w:p>
    <w:p w:rsidR="005E2C79" w:rsidRPr="00EA7AEA" w:rsidRDefault="005E2C79" w:rsidP="005E2C79">
      <w:pPr>
        <w:jc w:val="both"/>
        <w:rPr>
          <w:rFonts w:cs="Arial"/>
        </w:rPr>
      </w:pPr>
      <w:r w:rsidRPr="00EA7AEA">
        <w:rPr>
          <w:rFonts w:cs="Arial"/>
        </w:rPr>
        <w:t xml:space="preserve">Where provider options are limited and the preferred procurement approach requires the development of providers to ensure that appropriate services can be secured; </w:t>
      </w:r>
      <w:r w:rsidR="00EF4FDC" w:rsidRPr="00EA7AEA">
        <w:rPr>
          <w:rFonts w:cs="Arial"/>
        </w:rPr>
        <w:t xml:space="preserve">the </w:t>
      </w:r>
      <w:r w:rsidR="00E2105F" w:rsidRPr="00EA7AEA">
        <w:rPr>
          <w:rFonts w:cs="Arial"/>
        </w:rPr>
        <w:t>G</w:t>
      </w:r>
      <w:r w:rsidR="00EF4FDC" w:rsidRPr="00EA7AEA">
        <w:rPr>
          <w:rFonts w:cs="Arial"/>
        </w:rPr>
        <w:t>CCG</w:t>
      </w:r>
      <w:r w:rsidRPr="00EA7AEA">
        <w:rPr>
          <w:rFonts w:cs="Arial"/>
        </w:rPr>
        <w:t xml:space="preserve"> will identify and support the development of providers to enable market entry. This support may take the form of advice, signposting to education, training and business development opportunities. Any offer of support in this way must be transparent, proportionate, </w:t>
      </w:r>
      <w:proofErr w:type="gramStart"/>
      <w:r w:rsidRPr="00EA7AEA">
        <w:rPr>
          <w:rFonts w:cs="Arial"/>
        </w:rPr>
        <w:t>non</w:t>
      </w:r>
      <w:proofErr w:type="gramEnd"/>
      <w:r w:rsidRPr="00EA7AEA">
        <w:rPr>
          <w:rFonts w:cs="Arial"/>
        </w:rPr>
        <w:t>-discriminatory and adhere to NHS rules of competition and contestability.</w:t>
      </w:r>
    </w:p>
    <w:p w:rsidR="005E2C79" w:rsidRPr="00EA7AEA" w:rsidRDefault="005E2C79" w:rsidP="005E2C79">
      <w:pPr>
        <w:ind w:left="720"/>
        <w:jc w:val="both"/>
        <w:rPr>
          <w:rFonts w:cs="Arial"/>
        </w:rPr>
      </w:pPr>
    </w:p>
    <w:p w:rsidR="005E2C79" w:rsidRPr="00EA7AEA" w:rsidRDefault="005E2C79" w:rsidP="005E2C79">
      <w:pPr>
        <w:ind w:left="720" w:hanging="720"/>
        <w:jc w:val="both"/>
        <w:rPr>
          <w:rFonts w:cs="Arial"/>
        </w:rPr>
      </w:pPr>
      <w:r w:rsidRPr="00EA7AEA">
        <w:rPr>
          <w:rFonts w:cs="Arial"/>
        </w:rPr>
        <w:t>6</w:t>
      </w:r>
      <w:r w:rsidRPr="00EA7AEA">
        <w:rPr>
          <w:rFonts w:cs="Arial"/>
        </w:rPr>
        <w:tab/>
      </w:r>
      <w:r w:rsidRPr="00EA7AEA">
        <w:rPr>
          <w:rFonts w:cs="Arial"/>
          <w:u w:val="single"/>
        </w:rPr>
        <w:t>Market Management Support to the Commissioning Cycle</w:t>
      </w:r>
      <w:r w:rsidR="007115F7" w:rsidRPr="00EA7AEA">
        <w:rPr>
          <w:rFonts w:cs="Arial"/>
          <w:u w:val="single"/>
        </w:rPr>
        <w:t>:</w:t>
      </w:r>
    </w:p>
    <w:p w:rsidR="005E2C79" w:rsidRPr="00EA7AEA" w:rsidRDefault="005E2C79" w:rsidP="005E2C79">
      <w:pPr>
        <w:jc w:val="both"/>
        <w:rPr>
          <w:rFonts w:cs="Arial"/>
        </w:rPr>
      </w:pPr>
      <w:r w:rsidRPr="00EA7AEA">
        <w:rPr>
          <w:rFonts w:cs="Arial"/>
          <w:b/>
        </w:rPr>
        <w:tab/>
      </w:r>
    </w:p>
    <w:p w:rsidR="005E2C79" w:rsidRPr="00EA7AEA" w:rsidRDefault="005E2C79" w:rsidP="005E2C79">
      <w:pPr>
        <w:jc w:val="both"/>
        <w:rPr>
          <w:rFonts w:cs="Arial"/>
        </w:rPr>
      </w:pPr>
      <w:r w:rsidRPr="00EA7AEA">
        <w:rPr>
          <w:rFonts w:cs="Arial"/>
        </w:rPr>
        <w:t>6.1</w:t>
      </w:r>
      <w:r w:rsidRPr="00EA7AEA">
        <w:rPr>
          <w:rFonts w:cs="Arial"/>
        </w:rPr>
        <w:tab/>
        <w:t>Assess Needs/Review of Provision</w:t>
      </w:r>
      <w:r w:rsidR="00EF5A4C" w:rsidRPr="00EA7AEA">
        <w:rPr>
          <w:rFonts w:cs="Arial"/>
        </w:rPr>
        <w:t>:</w:t>
      </w:r>
    </w:p>
    <w:p w:rsidR="00EF5A4C" w:rsidRPr="00EA7AEA" w:rsidRDefault="00EF5A4C" w:rsidP="005E2C79">
      <w:pPr>
        <w:jc w:val="both"/>
        <w:rPr>
          <w:rFonts w:cs="Arial"/>
          <w:i/>
        </w:rPr>
      </w:pPr>
    </w:p>
    <w:p w:rsidR="005E2C79" w:rsidRPr="00EA7AEA" w:rsidRDefault="005E2C79" w:rsidP="00264B71">
      <w:pPr>
        <w:numPr>
          <w:ilvl w:val="0"/>
          <w:numId w:val="36"/>
        </w:numPr>
        <w:jc w:val="both"/>
        <w:rPr>
          <w:rFonts w:cs="Arial"/>
        </w:rPr>
      </w:pPr>
      <w:r w:rsidRPr="00EA7AEA">
        <w:rPr>
          <w:rFonts w:cs="Arial"/>
        </w:rPr>
        <w:t>Produce an updated map of current service providers relevant to the commissioning programme</w:t>
      </w:r>
    </w:p>
    <w:p w:rsidR="005E2C79" w:rsidRPr="00EA7AEA" w:rsidRDefault="005E2C79" w:rsidP="00264B71">
      <w:pPr>
        <w:numPr>
          <w:ilvl w:val="0"/>
          <w:numId w:val="36"/>
        </w:numPr>
        <w:jc w:val="both"/>
        <w:rPr>
          <w:rFonts w:cs="Arial"/>
        </w:rPr>
      </w:pPr>
      <w:r w:rsidRPr="00EA7AEA">
        <w:rPr>
          <w:rFonts w:cs="Arial"/>
        </w:rPr>
        <w:t>Identify providers that could be involved in helping define the needs assessment</w:t>
      </w:r>
    </w:p>
    <w:p w:rsidR="005E2C79" w:rsidRPr="00EA7AEA" w:rsidRDefault="005E2C79" w:rsidP="00264B71">
      <w:pPr>
        <w:numPr>
          <w:ilvl w:val="0"/>
          <w:numId w:val="36"/>
        </w:numPr>
        <w:jc w:val="both"/>
        <w:rPr>
          <w:rFonts w:cs="Arial"/>
        </w:rPr>
      </w:pPr>
      <w:r w:rsidRPr="00EA7AEA">
        <w:rPr>
          <w:rFonts w:cs="Arial"/>
        </w:rPr>
        <w:t>Provide market intelligence on the current provider market and any future trends</w:t>
      </w:r>
    </w:p>
    <w:p w:rsidR="005E2C79" w:rsidRPr="00EA7AEA" w:rsidRDefault="005E2C79" w:rsidP="00264B71">
      <w:pPr>
        <w:numPr>
          <w:ilvl w:val="0"/>
          <w:numId w:val="36"/>
        </w:numPr>
        <w:jc w:val="both"/>
        <w:rPr>
          <w:rFonts w:cs="Arial"/>
        </w:rPr>
      </w:pPr>
      <w:r w:rsidRPr="00EA7AEA">
        <w:rPr>
          <w:rFonts w:cs="Arial"/>
        </w:rPr>
        <w:t>Identify provider market gaps and any failing providers</w:t>
      </w:r>
    </w:p>
    <w:p w:rsidR="005E2C79" w:rsidRPr="00EA7AEA" w:rsidRDefault="005E2C79" w:rsidP="00264B71">
      <w:pPr>
        <w:numPr>
          <w:ilvl w:val="0"/>
          <w:numId w:val="36"/>
        </w:numPr>
        <w:jc w:val="both"/>
        <w:rPr>
          <w:rFonts w:cs="Arial"/>
        </w:rPr>
      </w:pPr>
      <w:r w:rsidRPr="00EA7AEA">
        <w:rPr>
          <w:rFonts w:cs="Arial"/>
        </w:rPr>
        <w:t>Are the current services delivering key national and local targets</w:t>
      </w:r>
    </w:p>
    <w:p w:rsidR="005E2C79" w:rsidRPr="00EA7AEA" w:rsidRDefault="005E2C79" w:rsidP="00264B71">
      <w:pPr>
        <w:numPr>
          <w:ilvl w:val="0"/>
          <w:numId w:val="36"/>
        </w:numPr>
        <w:jc w:val="both"/>
        <w:rPr>
          <w:rFonts w:cs="Arial"/>
        </w:rPr>
      </w:pPr>
      <w:r w:rsidRPr="00EA7AEA">
        <w:rPr>
          <w:rFonts w:cs="Arial"/>
        </w:rPr>
        <w:t>Do current providers offer services that are consistent with best practice and local and national strategy</w:t>
      </w:r>
    </w:p>
    <w:p w:rsidR="005E2C79" w:rsidRPr="00EA7AEA" w:rsidRDefault="005E2C79" w:rsidP="00264B71">
      <w:pPr>
        <w:numPr>
          <w:ilvl w:val="0"/>
          <w:numId w:val="36"/>
        </w:numPr>
        <w:jc w:val="both"/>
        <w:rPr>
          <w:rFonts w:cs="Arial"/>
        </w:rPr>
      </w:pPr>
      <w:r w:rsidRPr="00EA7AEA">
        <w:rPr>
          <w:rFonts w:cs="Arial"/>
        </w:rPr>
        <w:t>Determine the impact on the current and future provider market (will the introduction of new providers have a detrimental impact on the provision of services to patients)</w:t>
      </w:r>
    </w:p>
    <w:p w:rsidR="005E2C79" w:rsidRPr="00EA7AEA" w:rsidRDefault="005E2C79" w:rsidP="00264B71">
      <w:pPr>
        <w:numPr>
          <w:ilvl w:val="0"/>
          <w:numId w:val="36"/>
        </w:numPr>
        <w:jc w:val="both"/>
        <w:rPr>
          <w:rFonts w:cs="Arial"/>
        </w:rPr>
      </w:pPr>
      <w:r w:rsidRPr="00EA7AEA">
        <w:rPr>
          <w:rFonts w:cs="Arial"/>
        </w:rPr>
        <w:t>Where required begin a search for alternative providers</w:t>
      </w:r>
    </w:p>
    <w:p w:rsidR="005E2C79" w:rsidRPr="00EA7AEA" w:rsidRDefault="005E2C79" w:rsidP="005E2C79">
      <w:pPr>
        <w:jc w:val="both"/>
        <w:rPr>
          <w:rFonts w:cs="Arial"/>
        </w:rPr>
      </w:pPr>
    </w:p>
    <w:p w:rsidR="005E2C79" w:rsidRPr="00EA7AEA" w:rsidRDefault="005E2C79" w:rsidP="005E2C79">
      <w:pPr>
        <w:jc w:val="both"/>
        <w:rPr>
          <w:rFonts w:cs="Arial"/>
        </w:rPr>
      </w:pPr>
      <w:r w:rsidRPr="00EA7AEA">
        <w:rPr>
          <w:rFonts w:cs="Arial"/>
        </w:rPr>
        <w:lastRenderedPageBreak/>
        <w:t>6.2</w:t>
      </w:r>
      <w:r w:rsidRPr="00EA7AEA">
        <w:rPr>
          <w:rFonts w:cs="Arial"/>
        </w:rPr>
        <w:tab/>
        <w:t>Decide Priorities and Investment</w:t>
      </w:r>
      <w:r w:rsidR="00EF5A4C" w:rsidRPr="00EA7AEA">
        <w:rPr>
          <w:rFonts w:cs="Arial"/>
        </w:rPr>
        <w:t>:</w:t>
      </w:r>
    </w:p>
    <w:p w:rsidR="00EF5A4C" w:rsidRPr="00EA7AEA" w:rsidRDefault="00EF5A4C" w:rsidP="005E2C79">
      <w:pPr>
        <w:jc w:val="both"/>
        <w:rPr>
          <w:rFonts w:cs="Arial"/>
          <w:i/>
        </w:rPr>
      </w:pPr>
    </w:p>
    <w:p w:rsidR="005E2C79" w:rsidRPr="00EA7AEA" w:rsidRDefault="005E2C79" w:rsidP="00264B71">
      <w:pPr>
        <w:numPr>
          <w:ilvl w:val="0"/>
          <w:numId w:val="37"/>
        </w:numPr>
        <w:jc w:val="both"/>
        <w:rPr>
          <w:rFonts w:cs="Arial"/>
        </w:rPr>
      </w:pPr>
      <w:r w:rsidRPr="00EA7AEA">
        <w:rPr>
          <w:rFonts w:cs="Arial"/>
        </w:rPr>
        <w:t>Identify and qualify potential providers</w:t>
      </w:r>
    </w:p>
    <w:p w:rsidR="005E2C79" w:rsidRPr="00EA7AEA" w:rsidRDefault="005E2C79" w:rsidP="00264B71">
      <w:pPr>
        <w:numPr>
          <w:ilvl w:val="0"/>
          <w:numId w:val="37"/>
        </w:numPr>
        <w:jc w:val="both"/>
        <w:rPr>
          <w:rFonts w:cs="Arial"/>
        </w:rPr>
      </w:pPr>
      <w:r w:rsidRPr="00EA7AEA">
        <w:rPr>
          <w:rFonts w:cs="Arial"/>
        </w:rPr>
        <w:t>Gain decision if to invest in developing providers</w:t>
      </w:r>
    </w:p>
    <w:p w:rsidR="005E2C79" w:rsidRPr="00EA7AEA" w:rsidRDefault="005E2C79" w:rsidP="00264B71">
      <w:pPr>
        <w:numPr>
          <w:ilvl w:val="0"/>
          <w:numId w:val="37"/>
        </w:numPr>
        <w:jc w:val="both"/>
        <w:rPr>
          <w:rFonts w:cs="Arial"/>
        </w:rPr>
      </w:pPr>
      <w:r w:rsidRPr="00EA7AEA">
        <w:rPr>
          <w:rFonts w:cs="Arial"/>
        </w:rPr>
        <w:t>Engage potential providers in the commissioning process</w:t>
      </w:r>
    </w:p>
    <w:p w:rsidR="005E2C79" w:rsidRPr="00EA7AEA" w:rsidRDefault="005E2C79" w:rsidP="00264B71">
      <w:pPr>
        <w:numPr>
          <w:ilvl w:val="0"/>
          <w:numId w:val="37"/>
        </w:numPr>
        <w:jc w:val="both"/>
        <w:rPr>
          <w:rFonts w:cs="Arial"/>
        </w:rPr>
      </w:pPr>
      <w:r w:rsidRPr="00EA7AEA">
        <w:rPr>
          <w:rFonts w:cs="Arial"/>
        </w:rPr>
        <w:t>Is the effort of developing the supply market justified by the benefits for patients</w:t>
      </w:r>
    </w:p>
    <w:p w:rsidR="005E2C79" w:rsidRPr="00EA7AEA" w:rsidRDefault="005E2C79" w:rsidP="005E2C79">
      <w:pPr>
        <w:jc w:val="both"/>
        <w:rPr>
          <w:rFonts w:cs="Arial"/>
        </w:rPr>
      </w:pPr>
    </w:p>
    <w:p w:rsidR="005E2C79" w:rsidRPr="00EA7AEA" w:rsidRDefault="005E2C79" w:rsidP="005E2C79">
      <w:pPr>
        <w:jc w:val="both"/>
        <w:rPr>
          <w:rFonts w:cs="Arial"/>
        </w:rPr>
      </w:pPr>
      <w:r w:rsidRPr="00EA7AEA">
        <w:rPr>
          <w:rFonts w:cs="Arial"/>
        </w:rPr>
        <w:t>6.3</w:t>
      </w:r>
      <w:r w:rsidRPr="00EA7AEA">
        <w:rPr>
          <w:rFonts w:cs="Arial"/>
        </w:rPr>
        <w:tab/>
        <w:t>Define the Service</w:t>
      </w:r>
      <w:r w:rsidR="00EF5A4C" w:rsidRPr="00EA7AEA">
        <w:rPr>
          <w:rFonts w:cs="Arial"/>
        </w:rPr>
        <w:t>:</w:t>
      </w:r>
    </w:p>
    <w:p w:rsidR="00EF5A4C" w:rsidRPr="00EA7AEA" w:rsidRDefault="00EF5A4C" w:rsidP="005E2C79">
      <w:pPr>
        <w:jc w:val="both"/>
        <w:rPr>
          <w:rFonts w:cs="Arial"/>
          <w:i/>
        </w:rPr>
      </w:pPr>
    </w:p>
    <w:p w:rsidR="005E2C79" w:rsidRPr="00EA7AEA" w:rsidRDefault="005E2C79" w:rsidP="00264B71">
      <w:pPr>
        <w:numPr>
          <w:ilvl w:val="0"/>
          <w:numId w:val="38"/>
        </w:numPr>
        <w:jc w:val="both"/>
        <w:rPr>
          <w:rFonts w:cs="Arial"/>
        </w:rPr>
      </w:pPr>
      <w:r w:rsidRPr="00EA7AEA">
        <w:rPr>
          <w:rFonts w:cs="Arial"/>
        </w:rPr>
        <w:t>Ensure clear service specifications are developed</w:t>
      </w:r>
    </w:p>
    <w:p w:rsidR="005E2C79" w:rsidRPr="00EA7AEA" w:rsidRDefault="005E2C79" w:rsidP="00264B71">
      <w:pPr>
        <w:numPr>
          <w:ilvl w:val="0"/>
          <w:numId w:val="38"/>
        </w:numPr>
        <w:jc w:val="both"/>
        <w:rPr>
          <w:rFonts w:cs="Arial"/>
        </w:rPr>
      </w:pPr>
      <w:r w:rsidRPr="00EA7AEA">
        <w:rPr>
          <w:rFonts w:cs="Arial"/>
        </w:rPr>
        <w:t>Identify the implications on the provider market of the proposed service</w:t>
      </w:r>
    </w:p>
    <w:p w:rsidR="005E2C79" w:rsidRPr="00EA7AEA" w:rsidRDefault="005E2C79" w:rsidP="00264B71">
      <w:pPr>
        <w:numPr>
          <w:ilvl w:val="0"/>
          <w:numId w:val="38"/>
        </w:numPr>
        <w:jc w:val="both"/>
        <w:rPr>
          <w:rFonts w:cs="Arial"/>
        </w:rPr>
      </w:pPr>
      <w:r w:rsidRPr="00EA7AEA">
        <w:rPr>
          <w:rFonts w:cs="Arial"/>
        </w:rPr>
        <w:t>Support providers in bidding for services</w:t>
      </w:r>
    </w:p>
    <w:p w:rsidR="005E2C79" w:rsidRPr="00EA7AEA" w:rsidRDefault="005E2C79" w:rsidP="005E2C79">
      <w:pPr>
        <w:jc w:val="both"/>
        <w:rPr>
          <w:rFonts w:cs="Arial"/>
        </w:rPr>
      </w:pPr>
    </w:p>
    <w:p w:rsidR="005E2C79" w:rsidRPr="00EA7AEA" w:rsidRDefault="005E2C79" w:rsidP="005E2C79">
      <w:pPr>
        <w:jc w:val="both"/>
        <w:rPr>
          <w:rFonts w:cs="Arial"/>
        </w:rPr>
      </w:pPr>
      <w:r w:rsidRPr="00EA7AEA">
        <w:rPr>
          <w:rFonts w:cs="Arial"/>
        </w:rPr>
        <w:t>6.4</w:t>
      </w:r>
      <w:r w:rsidRPr="00EA7AEA">
        <w:rPr>
          <w:rFonts w:cs="Arial"/>
        </w:rPr>
        <w:tab/>
        <w:t>Shape Structure of Supply</w:t>
      </w:r>
      <w:r w:rsidR="00EF5A4C" w:rsidRPr="00EA7AEA">
        <w:rPr>
          <w:rFonts w:cs="Arial"/>
        </w:rPr>
        <w:t>:</w:t>
      </w:r>
    </w:p>
    <w:p w:rsidR="00EF5A4C" w:rsidRPr="00EA7AEA" w:rsidRDefault="00EF5A4C" w:rsidP="005E2C79">
      <w:pPr>
        <w:jc w:val="both"/>
        <w:rPr>
          <w:rFonts w:cs="Arial"/>
          <w:i/>
        </w:rPr>
      </w:pPr>
    </w:p>
    <w:p w:rsidR="005E2C79" w:rsidRPr="00EA7AEA" w:rsidRDefault="005E2C79" w:rsidP="00473E46">
      <w:pPr>
        <w:numPr>
          <w:ilvl w:val="0"/>
          <w:numId w:val="39"/>
        </w:numPr>
        <w:tabs>
          <w:tab w:val="clear" w:pos="1741"/>
          <w:tab w:val="num" w:pos="993"/>
        </w:tabs>
        <w:ind w:hanging="1015"/>
        <w:jc w:val="both"/>
        <w:rPr>
          <w:rFonts w:cs="Arial"/>
        </w:rPr>
      </w:pPr>
      <w:r w:rsidRPr="00EA7AEA">
        <w:rPr>
          <w:rFonts w:cs="Arial"/>
        </w:rPr>
        <w:t>Provide assurance on the selection process of providers</w:t>
      </w:r>
    </w:p>
    <w:p w:rsidR="005E2C79" w:rsidRPr="00EA7AEA" w:rsidRDefault="005E2C79" w:rsidP="00473E46">
      <w:pPr>
        <w:numPr>
          <w:ilvl w:val="0"/>
          <w:numId w:val="39"/>
        </w:numPr>
        <w:tabs>
          <w:tab w:val="clear" w:pos="1741"/>
          <w:tab w:val="num" w:pos="993"/>
        </w:tabs>
        <w:ind w:hanging="1015"/>
        <w:jc w:val="both"/>
        <w:rPr>
          <w:rFonts w:cs="Arial"/>
        </w:rPr>
      </w:pPr>
      <w:r w:rsidRPr="00EA7AEA">
        <w:rPr>
          <w:rFonts w:cs="Arial"/>
        </w:rPr>
        <w:t>Ensure provider requirement documents are robust</w:t>
      </w:r>
    </w:p>
    <w:p w:rsidR="005E2C79" w:rsidRPr="00EA7AEA" w:rsidRDefault="005E2C79" w:rsidP="00473E46">
      <w:pPr>
        <w:numPr>
          <w:ilvl w:val="0"/>
          <w:numId w:val="39"/>
        </w:numPr>
        <w:tabs>
          <w:tab w:val="clear" w:pos="1741"/>
          <w:tab w:val="num" w:pos="993"/>
        </w:tabs>
        <w:ind w:hanging="1015"/>
        <w:jc w:val="both"/>
        <w:rPr>
          <w:rFonts w:cs="Arial"/>
        </w:rPr>
      </w:pPr>
      <w:r w:rsidRPr="00EA7AEA">
        <w:rPr>
          <w:rFonts w:cs="Arial"/>
        </w:rPr>
        <w:t>Oversee the commissioner selection process</w:t>
      </w:r>
    </w:p>
    <w:p w:rsidR="005E2C79" w:rsidRPr="00EA7AEA" w:rsidRDefault="005E2C79" w:rsidP="005E2C79">
      <w:pPr>
        <w:jc w:val="both"/>
        <w:rPr>
          <w:rFonts w:cs="Arial"/>
        </w:rPr>
      </w:pPr>
    </w:p>
    <w:p w:rsidR="00EF5A4C" w:rsidRPr="00EA7AEA" w:rsidRDefault="005E2C79" w:rsidP="005E2C79">
      <w:pPr>
        <w:tabs>
          <w:tab w:val="left" w:pos="720"/>
          <w:tab w:val="left" w:pos="1440"/>
          <w:tab w:val="left" w:pos="2160"/>
          <w:tab w:val="left" w:pos="2880"/>
          <w:tab w:val="left" w:pos="3600"/>
          <w:tab w:val="left" w:pos="4320"/>
          <w:tab w:val="left" w:pos="5040"/>
          <w:tab w:val="left" w:pos="7275"/>
        </w:tabs>
        <w:jc w:val="both"/>
        <w:rPr>
          <w:rFonts w:cs="Arial"/>
        </w:rPr>
      </w:pPr>
      <w:r w:rsidRPr="00EA7AEA">
        <w:rPr>
          <w:rFonts w:cs="Arial"/>
        </w:rPr>
        <w:t>6.5</w:t>
      </w:r>
      <w:r w:rsidRPr="00EA7AEA">
        <w:rPr>
          <w:rFonts w:cs="Arial"/>
        </w:rPr>
        <w:tab/>
        <w:t>Formalise and Communicate</w:t>
      </w:r>
      <w:r w:rsidRPr="00EA7AEA">
        <w:rPr>
          <w:rFonts w:cs="Arial"/>
        </w:rPr>
        <w:tab/>
      </w:r>
      <w:r w:rsidR="00EF5A4C" w:rsidRPr="00EA7AEA">
        <w:rPr>
          <w:rFonts w:cs="Arial"/>
        </w:rPr>
        <w:t>:</w:t>
      </w:r>
    </w:p>
    <w:p w:rsidR="005E2C79" w:rsidRPr="00EA7AEA" w:rsidRDefault="005E2C79" w:rsidP="005E2C79">
      <w:pPr>
        <w:tabs>
          <w:tab w:val="left" w:pos="720"/>
          <w:tab w:val="left" w:pos="1440"/>
          <w:tab w:val="left" w:pos="2160"/>
          <w:tab w:val="left" w:pos="2880"/>
          <w:tab w:val="left" w:pos="3600"/>
          <w:tab w:val="left" w:pos="4320"/>
          <w:tab w:val="left" w:pos="5040"/>
          <w:tab w:val="left" w:pos="7275"/>
        </w:tabs>
        <w:jc w:val="both"/>
        <w:rPr>
          <w:rFonts w:cs="Arial"/>
          <w:i/>
        </w:rPr>
      </w:pPr>
      <w:r w:rsidRPr="00EA7AEA">
        <w:rPr>
          <w:rFonts w:cs="Arial"/>
          <w:i/>
        </w:rPr>
        <w:tab/>
      </w:r>
    </w:p>
    <w:p w:rsidR="005E2C79" w:rsidRPr="00EA7AEA" w:rsidRDefault="005E2C79" w:rsidP="00264B71">
      <w:pPr>
        <w:numPr>
          <w:ilvl w:val="0"/>
          <w:numId w:val="40"/>
        </w:numPr>
        <w:jc w:val="both"/>
        <w:rPr>
          <w:rFonts w:cs="Arial"/>
        </w:rPr>
      </w:pPr>
      <w:r w:rsidRPr="00EA7AEA">
        <w:rPr>
          <w:rFonts w:cs="Arial"/>
        </w:rPr>
        <w:t>Clear awards process with feedback to unsuccessful providers which may help them develop for the future</w:t>
      </w:r>
    </w:p>
    <w:p w:rsidR="005E2C79" w:rsidRPr="00EA7AEA" w:rsidRDefault="005E2C79" w:rsidP="00264B71">
      <w:pPr>
        <w:numPr>
          <w:ilvl w:val="0"/>
          <w:numId w:val="40"/>
        </w:numPr>
        <w:jc w:val="both"/>
        <w:rPr>
          <w:rFonts w:cs="Arial"/>
        </w:rPr>
      </w:pPr>
      <w:r w:rsidRPr="00EA7AEA">
        <w:rPr>
          <w:rFonts w:cs="Arial"/>
        </w:rPr>
        <w:t>Clear implementation plan for delivery of new services</w:t>
      </w:r>
    </w:p>
    <w:p w:rsidR="005E2C79" w:rsidRPr="00EA7AEA" w:rsidRDefault="005E2C79" w:rsidP="005E2C79">
      <w:pPr>
        <w:jc w:val="both"/>
        <w:rPr>
          <w:rFonts w:cs="Arial"/>
        </w:rPr>
      </w:pPr>
    </w:p>
    <w:p w:rsidR="005E2C79" w:rsidRPr="00EA7AEA" w:rsidRDefault="005E2C79" w:rsidP="005E2C79">
      <w:pPr>
        <w:jc w:val="both"/>
        <w:rPr>
          <w:rFonts w:cs="Arial"/>
        </w:rPr>
      </w:pPr>
      <w:r w:rsidRPr="00EA7AEA">
        <w:rPr>
          <w:rFonts w:cs="Arial"/>
        </w:rPr>
        <w:t>7</w:t>
      </w:r>
      <w:r w:rsidRPr="00EA7AEA">
        <w:rPr>
          <w:rFonts w:cs="Arial"/>
        </w:rPr>
        <w:tab/>
      </w:r>
      <w:r w:rsidRPr="00EA7AEA">
        <w:rPr>
          <w:rFonts w:cs="Arial"/>
          <w:u w:val="single"/>
        </w:rPr>
        <w:t>Contract and Performance Management Frameworks</w:t>
      </w:r>
      <w:r w:rsidR="007115F7" w:rsidRPr="00EA7AEA">
        <w:rPr>
          <w:rFonts w:cs="Arial"/>
          <w:u w:val="single"/>
        </w:rPr>
        <w:t>:</w:t>
      </w:r>
    </w:p>
    <w:p w:rsidR="005E2C79" w:rsidRPr="00EA7AEA" w:rsidRDefault="005E2C79" w:rsidP="005E2C79">
      <w:pPr>
        <w:jc w:val="both"/>
        <w:rPr>
          <w:rFonts w:cs="Arial"/>
          <w:b/>
        </w:rPr>
      </w:pPr>
      <w:r w:rsidRPr="00EA7AEA">
        <w:rPr>
          <w:rFonts w:cs="Arial"/>
          <w:b/>
        </w:rPr>
        <w:tab/>
      </w:r>
    </w:p>
    <w:p w:rsidR="005E2C79" w:rsidRPr="00EA7AEA" w:rsidRDefault="005E2C79" w:rsidP="005E2C79">
      <w:pPr>
        <w:jc w:val="both"/>
        <w:rPr>
          <w:rFonts w:cs="Arial"/>
        </w:rPr>
      </w:pPr>
      <w:r w:rsidRPr="00EA7AEA">
        <w:rPr>
          <w:rFonts w:cs="Arial"/>
        </w:rPr>
        <w:t>Market management is underpinned by effective contract, performance management (including quality) and procurement frameworks.</w:t>
      </w:r>
    </w:p>
    <w:p w:rsidR="005E2C79" w:rsidRPr="00EA7AEA" w:rsidRDefault="005E2C79" w:rsidP="005E2C79">
      <w:pPr>
        <w:ind w:left="720"/>
        <w:jc w:val="both"/>
        <w:rPr>
          <w:rFonts w:cs="Arial"/>
        </w:rPr>
      </w:pPr>
    </w:p>
    <w:p w:rsidR="005E2C79" w:rsidRPr="00EA7AEA" w:rsidRDefault="005E2C79" w:rsidP="005E2C79">
      <w:pPr>
        <w:jc w:val="both"/>
        <w:rPr>
          <w:rFonts w:cs="Arial"/>
        </w:rPr>
      </w:pPr>
      <w:r w:rsidRPr="00EA7AEA">
        <w:rPr>
          <w:rFonts w:cs="Arial"/>
        </w:rPr>
        <w:t>7.1</w:t>
      </w:r>
      <w:r w:rsidRPr="00EA7AEA">
        <w:rPr>
          <w:rFonts w:cs="Arial"/>
        </w:rPr>
        <w:tab/>
        <w:t>Contract Management</w:t>
      </w:r>
      <w:r w:rsidR="00EF5A4C" w:rsidRPr="00EA7AEA">
        <w:rPr>
          <w:rFonts w:cs="Arial"/>
        </w:rPr>
        <w:t>:</w:t>
      </w:r>
    </w:p>
    <w:p w:rsidR="00EF5A4C" w:rsidRPr="00EA7AEA" w:rsidRDefault="00EF5A4C" w:rsidP="005E2C79">
      <w:pPr>
        <w:jc w:val="both"/>
        <w:rPr>
          <w:rFonts w:cs="Arial"/>
          <w:i/>
        </w:rPr>
      </w:pPr>
    </w:p>
    <w:p w:rsidR="005E2C79" w:rsidRPr="00EA7AEA" w:rsidRDefault="005E2C79" w:rsidP="00264B71">
      <w:pPr>
        <w:numPr>
          <w:ilvl w:val="0"/>
          <w:numId w:val="41"/>
        </w:numPr>
        <w:jc w:val="both"/>
        <w:rPr>
          <w:rFonts w:cs="Arial"/>
        </w:rPr>
      </w:pPr>
      <w:r w:rsidRPr="00EA7AEA">
        <w:rPr>
          <w:rFonts w:cs="Arial"/>
        </w:rPr>
        <w:t>Regular discussions with all key providers. Formal Contract Boards and appropriate subgroups in place for all major contracts</w:t>
      </w:r>
    </w:p>
    <w:p w:rsidR="005E2C79" w:rsidRPr="00EA7AEA" w:rsidRDefault="005E2C79" w:rsidP="00264B71">
      <w:pPr>
        <w:numPr>
          <w:ilvl w:val="0"/>
          <w:numId w:val="41"/>
        </w:numPr>
        <w:jc w:val="both"/>
        <w:rPr>
          <w:rFonts w:cs="Arial"/>
        </w:rPr>
      </w:pPr>
      <w:r w:rsidRPr="00EA7AEA">
        <w:rPr>
          <w:rFonts w:cs="Arial"/>
        </w:rPr>
        <w:t>Clear issue resolution/escalation processes</w:t>
      </w:r>
    </w:p>
    <w:p w:rsidR="005E2C79" w:rsidRPr="00EA7AEA" w:rsidRDefault="005E2C79" w:rsidP="00264B71">
      <w:pPr>
        <w:numPr>
          <w:ilvl w:val="0"/>
          <w:numId w:val="41"/>
        </w:numPr>
        <w:jc w:val="both"/>
        <w:rPr>
          <w:rFonts w:cs="Arial"/>
        </w:rPr>
      </w:pPr>
      <w:r w:rsidRPr="00EA7AEA">
        <w:rPr>
          <w:rFonts w:cs="Arial"/>
        </w:rPr>
        <w:t>Consistent and rigorous negotiation processes</w:t>
      </w:r>
    </w:p>
    <w:p w:rsidR="005E2C79" w:rsidRPr="00EA7AEA" w:rsidRDefault="005E2C79" w:rsidP="00264B71">
      <w:pPr>
        <w:numPr>
          <w:ilvl w:val="0"/>
          <w:numId w:val="41"/>
        </w:numPr>
        <w:jc w:val="both"/>
        <w:rPr>
          <w:rFonts w:cs="Arial"/>
        </w:rPr>
      </w:pPr>
      <w:r w:rsidRPr="00EA7AEA">
        <w:rPr>
          <w:rFonts w:cs="Arial"/>
        </w:rPr>
        <w:t>Use of the standardised NHS Contract</w:t>
      </w:r>
    </w:p>
    <w:p w:rsidR="005E2C79" w:rsidRPr="00EA7AEA" w:rsidRDefault="005E2C79" w:rsidP="005E2C79">
      <w:pPr>
        <w:jc w:val="both"/>
        <w:rPr>
          <w:rFonts w:cs="Arial"/>
        </w:rPr>
      </w:pPr>
    </w:p>
    <w:p w:rsidR="005E2C79" w:rsidRPr="00EA7AEA" w:rsidRDefault="005E2C79" w:rsidP="005E2C79">
      <w:pPr>
        <w:jc w:val="both"/>
        <w:rPr>
          <w:rFonts w:cs="Arial"/>
        </w:rPr>
      </w:pPr>
      <w:r w:rsidRPr="00EA7AEA">
        <w:rPr>
          <w:rFonts w:cs="Arial"/>
        </w:rPr>
        <w:t>7.2</w:t>
      </w:r>
      <w:r w:rsidRPr="00EA7AEA">
        <w:rPr>
          <w:rFonts w:cs="Arial"/>
        </w:rPr>
        <w:tab/>
        <w:t>Performance Management</w:t>
      </w:r>
      <w:r w:rsidR="00EF5A4C" w:rsidRPr="00EA7AEA">
        <w:rPr>
          <w:rFonts w:cs="Arial"/>
        </w:rPr>
        <w:t>:</w:t>
      </w:r>
    </w:p>
    <w:p w:rsidR="00EF5A4C" w:rsidRPr="00EA7AEA" w:rsidRDefault="00EF5A4C" w:rsidP="005E2C79">
      <w:pPr>
        <w:jc w:val="both"/>
        <w:rPr>
          <w:rFonts w:cs="Arial"/>
          <w:i/>
        </w:rPr>
      </w:pPr>
    </w:p>
    <w:p w:rsidR="005E2C79" w:rsidRPr="00EA7AEA" w:rsidRDefault="005E2C79" w:rsidP="00264B71">
      <w:pPr>
        <w:numPr>
          <w:ilvl w:val="0"/>
          <w:numId w:val="42"/>
        </w:numPr>
        <w:jc w:val="both"/>
        <w:rPr>
          <w:rFonts w:cs="Arial"/>
        </w:rPr>
      </w:pPr>
      <w:r w:rsidRPr="00EA7AEA">
        <w:rPr>
          <w:rFonts w:cs="Arial"/>
        </w:rPr>
        <w:t>Predictive modelling, analysis and performance management</w:t>
      </w:r>
    </w:p>
    <w:p w:rsidR="005E2C79" w:rsidRPr="00EA7AEA" w:rsidRDefault="005E2C79" w:rsidP="00264B71">
      <w:pPr>
        <w:numPr>
          <w:ilvl w:val="0"/>
          <w:numId w:val="42"/>
        </w:numPr>
        <w:jc w:val="both"/>
        <w:rPr>
          <w:rFonts w:cs="Arial"/>
        </w:rPr>
      </w:pPr>
      <w:r w:rsidRPr="00EA7AEA">
        <w:rPr>
          <w:rFonts w:cs="Arial"/>
        </w:rPr>
        <w:t>Clear Key Performance Indicators (KPIs) and defined performance improvement targets</w:t>
      </w:r>
    </w:p>
    <w:p w:rsidR="005E2C79" w:rsidRPr="00EA7AEA" w:rsidRDefault="005E2C79" w:rsidP="00264B71">
      <w:pPr>
        <w:numPr>
          <w:ilvl w:val="0"/>
          <w:numId w:val="42"/>
        </w:numPr>
        <w:jc w:val="both"/>
        <w:rPr>
          <w:rFonts w:cs="Arial"/>
        </w:rPr>
      </w:pPr>
      <w:r w:rsidRPr="00EA7AEA">
        <w:rPr>
          <w:rFonts w:cs="Arial"/>
        </w:rPr>
        <w:t>Regular and timely performance data analysed by efficiency, quality, outcomes, comparative benchmarks and patient experience</w:t>
      </w:r>
    </w:p>
    <w:p w:rsidR="005E2C79" w:rsidRPr="00EA7AEA" w:rsidRDefault="005E2C79" w:rsidP="00264B71">
      <w:pPr>
        <w:numPr>
          <w:ilvl w:val="0"/>
          <w:numId w:val="42"/>
        </w:numPr>
        <w:jc w:val="both"/>
        <w:rPr>
          <w:rFonts w:cs="Arial"/>
        </w:rPr>
      </w:pPr>
      <w:r w:rsidRPr="00EA7AEA">
        <w:rPr>
          <w:rFonts w:cs="Arial"/>
        </w:rPr>
        <w:t>Achievement of national targets and local KPIs.</w:t>
      </w:r>
    </w:p>
    <w:p w:rsidR="005E2C79" w:rsidRPr="00EA7AEA" w:rsidRDefault="005E2C79" w:rsidP="005E2C79">
      <w:pPr>
        <w:jc w:val="both"/>
        <w:rPr>
          <w:rFonts w:cs="Arial"/>
        </w:rPr>
      </w:pPr>
    </w:p>
    <w:p w:rsidR="005E2C79" w:rsidRPr="00EA7AEA" w:rsidRDefault="005E2C79" w:rsidP="005E2C79">
      <w:pPr>
        <w:jc w:val="both"/>
        <w:rPr>
          <w:rFonts w:cs="Arial"/>
        </w:rPr>
      </w:pPr>
      <w:r w:rsidRPr="00EA7AEA">
        <w:rPr>
          <w:rFonts w:cs="Arial"/>
        </w:rPr>
        <w:t>7.3</w:t>
      </w:r>
      <w:r w:rsidRPr="00EA7AEA">
        <w:rPr>
          <w:rFonts w:cs="Arial"/>
        </w:rPr>
        <w:tab/>
        <w:t>Service Quality</w:t>
      </w:r>
      <w:r w:rsidR="00EF5A4C" w:rsidRPr="00EA7AEA">
        <w:rPr>
          <w:rFonts w:cs="Arial"/>
        </w:rPr>
        <w:t>:</w:t>
      </w:r>
    </w:p>
    <w:p w:rsidR="00EF5A4C" w:rsidRPr="00EA7AEA" w:rsidRDefault="00EF5A4C" w:rsidP="005E2C79">
      <w:pPr>
        <w:jc w:val="both"/>
        <w:rPr>
          <w:rFonts w:cs="Arial"/>
          <w:i/>
        </w:rPr>
      </w:pPr>
    </w:p>
    <w:p w:rsidR="005E2C79" w:rsidRPr="00EA7AEA" w:rsidRDefault="005E2C79" w:rsidP="00473E46">
      <w:pPr>
        <w:numPr>
          <w:ilvl w:val="0"/>
          <w:numId w:val="43"/>
        </w:numPr>
        <w:tabs>
          <w:tab w:val="clear" w:pos="1561"/>
          <w:tab w:val="num" w:pos="993"/>
        </w:tabs>
        <w:ind w:left="993"/>
        <w:jc w:val="both"/>
        <w:rPr>
          <w:rFonts w:cs="Arial"/>
          <w:i/>
        </w:rPr>
      </w:pPr>
      <w:r w:rsidRPr="00EA7AEA">
        <w:rPr>
          <w:rFonts w:cs="Arial"/>
        </w:rPr>
        <w:t>Understanding the quality of services provided is a key element of market management. The following indicators will all be considered as part of a provider review.</w:t>
      </w:r>
    </w:p>
    <w:p w:rsidR="005E2C79" w:rsidRPr="00EA7AEA" w:rsidRDefault="005E2C79" w:rsidP="00473E46">
      <w:pPr>
        <w:pStyle w:val="ListParagraph"/>
        <w:numPr>
          <w:ilvl w:val="1"/>
          <w:numId w:val="69"/>
        </w:numPr>
        <w:ind w:left="1418" w:hanging="425"/>
        <w:jc w:val="both"/>
        <w:rPr>
          <w:rFonts w:cs="Arial"/>
        </w:rPr>
      </w:pPr>
      <w:r w:rsidRPr="00EA7AEA">
        <w:rPr>
          <w:rFonts w:cs="Arial"/>
        </w:rPr>
        <w:t>Mortality rates</w:t>
      </w:r>
    </w:p>
    <w:p w:rsidR="005E2C79" w:rsidRPr="00EA7AEA" w:rsidRDefault="005E2C79" w:rsidP="00473E46">
      <w:pPr>
        <w:pStyle w:val="ListParagraph"/>
        <w:numPr>
          <w:ilvl w:val="1"/>
          <w:numId w:val="69"/>
        </w:numPr>
        <w:ind w:left="1418" w:hanging="425"/>
        <w:jc w:val="both"/>
        <w:rPr>
          <w:rFonts w:cs="Arial"/>
        </w:rPr>
      </w:pPr>
      <w:r w:rsidRPr="00EA7AEA">
        <w:rPr>
          <w:rFonts w:cs="Arial"/>
        </w:rPr>
        <w:t>Readmission rates</w:t>
      </w:r>
    </w:p>
    <w:p w:rsidR="005E2C79" w:rsidRPr="00EA7AEA" w:rsidRDefault="005E2C79" w:rsidP="00473E46">
      <w:pPr>
        <w:pStyle w:val="ListParagraph"/>
        <w:numPr>
          <w:ilvl w:val="1"/>
          <w:numId w:val="69"/>
        </w:numPr>
        <w:ind w:left="1418" w:hanging="425"/>
        <w:jc w:val="both"/>
        <w:rPr>
          <w:rFonts w:cs="Arial"/>
        </w:rPr>
      </w:pPr>
      <w:r w:rsidRPr="00EA7AEA">
        <w:rPr>
          <w:rFonts w:cs="Arial"/>
        </w:rPr>
        <w:lastRenderedPageBreak/>
        <w:t>Length of stay</w:t>
      </w:r>
    </w:p>
    <w:p w:rsidR="005E2C79" w:rsidRPr="00EA7AEA" w:rsidRDefault="005E2C79" w:rsidP="00473E46">
      <w:pPr>
        <w:pStyle w:val="ListParagraph"/>
        <w:numPr>
          <w:ilvl w:val="1"/>
          <w:numId w:val="69"/>
        </w:numPr>
        <w:ind w:left="1418" w:hanging="425"/>
        <w:jc w:val="both"/>
        <w:rPr>
          <w:rFonts w:cs="Arial"/>
        </w:rPr>
      </w:pPr>
      <w:r w:rsidRPr="00EA7AEA">
        <w:rPr>
          <w:rFonts w:cs="Arial"/>
        </w:rPr>
        <w:t>First to follow up ratio’s - outpatients</w:t>
      </w:r>
    </w:p>
    <w:p w:rsidR="005E2C79" w:rsidRPr="00EA7AEA" w:rsidRDefault="005E2C79" w:rsidP="00473E46">
      <w:pPr>
        <w:pStyle w:val="ListParagraph"/>
        <w:numPr>
          <w:ilvl w:val="1"/>
          <w:numId w:val="69"/>
        </w:numPr>
        <w:ind w:left="1418" w:hanging="425"/>
        <w:jc w:val="both"/>
        <w:rPr>
          <w:rFonts w:cs="Arial"/>
        </w:rPr>
      </w:pPr>
      <w:r w:rsidRPr="00EA7AEA">
        <w:rPr>
          <w:rFonts w:cs="Arial"/>
        </w:rPr>
        <w:t>Conversion rates</w:t>
      </w:r>
    </w:p>
    <w:p w:rsidR="005E2C79" w:rsidRPr="00EA7AEA" w:rsidRDefault="005E2C79" w:rsidP="00473E46">
      <w:pPr>
        <w:pStyle w:val="ListParagraph"/>
        <w:numPr>
          <w:ilvl w:val="1"/>
          <w:numId w:val="69"/>
        </w:numPr>
        <w:ind w:left="1418" w:hanging="425"/>
        <w:jc w:val="both"/>
        <w:rPr>
          <w:rFonts w:cs="Arial"/>
        </w:rPr>
      </w:pPr>
      <w:r w:rsidRPr="00EA7AEA">
        <w:rPr>
          <w:rFonts w:cs="Arial"/>
        </w:rPr>
        <w:t>DNA rates</w:t>
      </w:r>
    </w:p>
    <w:p w:rsidR="005E2C79" w:rsidRPr="00EA7AEA" w:rsidRDefault="005E2C79" w:rsidP="005E2C79">
      <w:pPr>
        <w:ind w:left="1724" w:firstLine="436"/>
        <w:jc w:val="both"/>
        <w:rPr>
          <w:rFonts w:cs="Arial"/>
        </w:rPr>
      </w:pPr>
    </w:p>
    <w:p w:rsidR="005E2C79" w:rsidRPr="00EA7AEA" w:rsidRDefault="005E2C79" w:rsidP="00F307E3">
      <w:pPr>
        <w:autoSpaceDE w:val="0"/>
        <w:autoSpaceDN w:val="0"/>
        <w:adjustRightInd w:val="0"/>
        <w:ind w:left="709" w:hanging="709"/>
        <w:rPr>
          <w:rFonts w:cs="Arial"/>
        </w:rPr>
      </w:pPr>
      <w:r w:rsidRPr="00EA7AEA">
        <w:rPr>
          <w:rFonts w:cs="Arial"/>
        </w:rPr>
        <w:t>8</w:t>
      </w:r>
      <w:r w:rsidR="00EF5A4C" w:rsidRPr="00EA7AEA">
        <w:rPr>
          <w:rFonts w:cs="Arial"/>
        </w:rPr>
        <w:tab/>
      </w:r>
      <w:r w:rsidRPr="00EA7AEA">
        <w:rPr>
          <w:rFonts w:cs="Arial"/>
          <w:u w:val="single"/>
        </w:rPr>
        <w:t xml:space="preserve">NHS Gloucestershire </w:t>
      </w:r>
      <w:r w:rsidR="00BE527B" w:rsidRPr="00EA7AEA">
        <w:rPr>
          <w:rFonts w:cs="Arial"/>
          <w:u w:val="single"/>
        </w:rPr>
        <w:t xml:space="preserve">CCG’s </w:t>
      </w:r>
      <w:r w:rsidRPr="00EA7AEA">
        <w:rPr>
          <w:rFonts w:cs="Arial"/>
          <w:u w:val="single"/>
        </w:rPr>
        <w:t>Progress in Market Management</w:t>
      </w:r>
      <w:r w:rsidR="007115F7" w:rsidRPr="00EA7AEA">
        <w:rPr>
          <w:rFonts w:cs="Arial"/>
          <w:u w:val="single"/>
        </w:rPr>
        <w:t>:</w:t>
      </w:r>
    </w:p>
    <w:p w:rsidR="005E2C79" w:rsidRPr="00EA7AEA" w:rsidRDefault="005E2C79" w:rsidP="005E2C79">
      <w:pPr>
        <w:autoSpaceDE w:val="0"/>
        <w:autoSpaceDN w:val="0"/>
        <w:adjustRightInd w:val="0"/>
        <w:rPr>
          <w:rFonts w:cs="Arial"/>
          <w:b/>
        </w:rPr>
      </w:pPr>
    </w:p>
    <w:p w:rsidR="005E2C79" w:rsidRPr="00EA7AEA" w:rsidRDefault="005E2C79" w:rsidP="00EF4FDC">
      <w:pPr>
        <w:autoSpaceDE w:val="0"/>
        <w:autoSpaceDN w:val="0"/>
        <w:adjustRightInd w:val="0"/>
        <w:jc w:val="both"/>
        <w:rPr>
          <w:rFonts w:cs="Arial"/>
        </w:rPr>
      </w:pPr>
      <w:r w:rsidRPr="00EA7AEA">
        <w:rPr>
          <w:rFonts w:cs="Arial"/>
        </w:rPr>
        <w:t xml:space="preserve">Over the past 12 months, while we have been developing the skills needed to deliver the competencies for market management, we have taken a number of services and applied a variety of market intervention strategies. </w:t>
      </w:r>
    </w:p>
    <w:p w:rsidR="005E2C79" w:rsidRPr="00EA7AEA" w:rsidRDefault="005E2C79" w:rsidP="00EF5A4C">
      <w:pPr>
        <w:autoSpaceDE w:val="0"/>
        <w:autoSpaceDN w:val="0"/>
        <w:adjustRightInd w:val="0"/>
        <w:jc w:val="center"/>
        <w:rPr>
          <w:rFonts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402"/>
        <w:gridCol w:w="2268"/>
      </w:tblGrid>
      <w:tr w:rsidR="00BE69CE" w:rsidRPr="00EA7AEA" w:rsidTr="00EF4FDC">
        <w:tc>
          <w:tcPr>
            <w:tcW w:w="3510" w:type="dxa"/>
            <w:shd w:val="clear" w:color="auto" w:fill="B8CCE4" w:themeFill="accent1" w:themeFillTint="66"/>
          </w:tcPr>
          <w:p w:rsidR="00185F74" w:rsidRPr="00EA7AEA" w:rsidRDefault="00185F74" w:rsidP="00185F74">
            <w:pPr>
              <w:autoSpaceDE w:val="0"/>
              <w:autoSpaceDN w:val="0"/>
              <w:adjustRightInd w:val="0"/>
              <w:rPr>
                <w:rFonts w:cs="Arial"/>
                <w:b/>
                <w:bCs/>
                <w:sz w:val="20"/>
                <w:szCs w:val="20"/>
              </w:rPr>
            </w:pPr>
          </w:p>
          <w:p w:rsidR="00EF4FDC" w:rsidRPr="00EA7AEA" w:rsidRDefault="005E2C79" w:rsidP="00185F74">
            <w:pPr>
              <w:autoSpaceDE w:val="0"/>
              <w:autoSpaceDN w:val="0"/>
              <w:adjustRightInd w:val="0"/>
              <w:rPr>
                <w:rFonts w:cs="Arial"/>
                <w:b/>
                <w:bCs/>
                <w:sz w:val="20"/>
                <w:szCs w:val="20"/>
              </w:rPr>
            </w:pPr>
            <w:r w:rsidRPr="00EA7AEA">
              <w:rPr>
                <w:rFonts w:cs="Arial"/>
                <w:b/>
                <w:bCs/>
                <w:sz w:val="20"/>
                <w:szCs w:val="20"/>
              </w:rPr>
              <w:t>Category</w:t>
            </w:r>
            <w:r w:rsidR="007115F7" w:rsidRPr="00EA7AEA">
              <w:rPr>
                <w:rFonts w:cs="Arial"/>
                <w:b/>
                <w:bCs/>
                <w:sz w:val="20"/>
                <w:szCs w:val="20"/>
              </w:rPr>
              <w:t>:</w:t>
            </w:r>
          </w:p>
          <w:p w:rsidR="00185F74" w:rsidRPr="00EA7AEA" w:rsidRDefault="00185F74" w:rsidP="00185F74">
            <w:pPr>
              <w:autoSpaceDE w:val="0"/>
              <w:autoSpaceDN w:val="0"/>
              <w:adjustRightInd w:val="0"/>
              <w:rPr>
                <w:rFonts w:cs="Arial"/>
                <w:b/>
                <w:bCs/>
                <w:sz w:val="20"/>
                <w:szCs w:val="20"/>
              </w:rPr>
            </w:pPr>
          </w:p>
        </w:tc>
        <w:tc>
          <w:tcPr>
            <w:tcW w:w="3402" w:type="dxa"/>
            <w:shd w:val="clear" w:color="auto" w:fill="B8CCE4" w:themeFill="accent1" w:themeFillTint="66"/>
          </w:tcPr>
          <w:p w:rsidR="00185F74" w:rsidRPr="00EA7AEA" w:rsidRDefault="00185F74" w:rsidP="00185F74">
            <w:pPr>
              <w:autoSpaceDE w:val="0"/>
              <w:autoSpaceDN w:val="0"/>
              <w:adjustRightInd w:val="0"/>
              <w:rPr>
                <w:rFonts w:cs="Arial"/>
                <w:b/>
                <w:bCs/>
                <w:sz w:val="20"/>
                <w:szCs w:val="20"/>
              </w:rPr>
            </w:pPr>
          </w:p>
          <w:p w:rsidR="00EF4FDC" w:rsidRPr="00EA7AEA" w:rsidRDefault="005E2C79" w:rsidP="00185F74">
            <w:pPr>
              <w:autoSpaceDE w:val="0"/>
              <w:autoSpaceDN w:val="0"/>
              <w:adjustRightInd w:val="0"/>
              <w:rPr>
                <w:rFonts w:cs="Arial"/>
                <w:b/>
                <w:bCs/>
                <w:sz w:val="20"/>
                <w:szCs w:val="20"/>
              </w:rPr>
            </w:pPr>
            <w:r w:rsidRPr="00EA7AEA">
              <w:rPr>
                <w:rFonts w:cs="Arial"/>
                <w:b/>
                <w:bCs/>
                <w:sz w:val="20"/>
                <w:szCs w:val="20"/>
              </w:rPr>
              <w:t>Market Intervention Strategy</w:t>
            </w:r>
            <w:r w:rsidR="007115F7" w:rsidRPr="00EA7AEA">
              <w:rPr>
                <w:rFonts w:cs="Arial"/>
                <w:b/>
                <w:bCs/>
                <w:sz w:val="20"/>
                <w:szCs w:val="20"/>
              </w:rPr>
              <w:t>:</w:t>
            </w:r>
          </w:p>
        </w:tc>
        <w:tc>
          <w:tcPr>
            <w:tcW w:w="2268" w:type="dxa"/>
            <w:shd w:val="clear" w:color="auto" w:fill="B8CCE4" w:themeFill="accent1" w:themeFillTint="66"/>
          </w:tcPr>
          <w:p w:rsidR="00185F74" w:rsidRPr="00EA7AEA" w:rsidRDefault="00185F74" w:rsidP="00185F74">
            <w:pPr>
              <w:autoSpaceDE w:val="0"/>
              <w:autoSpaceDN w:val="0"/>
              <w:adjustRightInd w:val="0"/>
              <w:rPr>
                <w:rFonts w:cs="Arial"/>
                <w:b/>
                <w:bCs/>
                <w:sz w:val="20"/>
                <w:szCs w:val="20"/>
              </w:rPr>
            </w:pPr>
          </w:p>
          <w:p w:rsidR="005E2C79" w:rsidRPr="00EA7AEA" w:rsidRDefault="00F307E3" w:rsidP="00185F74">
            <w:pPr>
              <w:autoSpaceDE w:val="0"/>
              <w:autoSpaceDN w:val="0"/>
              <w:adjustRightInd w:val="0"/>
              <w:rPr>
                <w:rFonts w:cs="Arial"/>
                <w:b/>
                <w:bCs/>
                <w:sz w:val="20"/>
                <w:szCs w:val="20"/>
              </w:rPr>
            </w:pPr>
            <w:r w:rsidRPr="00EA7AEA">
              <w:rPr>
                <w:rFonts w:cs="Arial"/>
                <w:b/>
                <w:bCs/>
                <w:sz w:val="20"/>
                <w:szCs w:val="20"/>
              </w:rPr>
              <w:t>P</w:t>
            </w:r>
            <w:r w:rsidR="005E2C79" w:rsidRPr="00EA7AEA">
              <w:rPr>
                <w:rFonts w:cs="Arial"/>
                <w:b/>
                <w:bCs/>
                <w:sz w:val="20"/>
                <w:szCs w:val="20"/>
              </w:rPr>
              <w:t>rocurement Route</w:t>
            </w:r>
            <w:r w:rsidR="007115F7" w:rsidRPr="00EA7AEA">
              <w:rPr>
                <w:rFonts w:cs="Arial"/>
                <w:b/>
                <w:bCs/>
                <w:sz w:val="20"/>
                <w:szCs w:val="20"/>
              </w:rPr>
              <w:t>:</w:t>
            </w:r>
          </w:p>
        </w:tc>
      </w:tr>
      <w:tr w:rsidR="00BE69CE" w:rsidRPr="00EA7AEA" w:rsidTr="00EF4FDC">
        <w:tc>
          <w:tcPr>
            <w:tcW w:w="3510" w:type="dxa"/>
          </w:tcPr>
          <w:p w:rsidR="00185F74" w:rsidRPr="00EA7AEA" w:rsidRDefault="00EF4FDC" w:rsidP="00EF4FDC">
            <w:pPr>
              <w:autoSpaceDE w:val="0"/>
              <w:autoSpaceDN w:val="0"/>
              <w:adjustRightInd w:val="0"/>
              <w:rPr>
                <w:rFonts w:cs="Arial"/>
                <w:sz w:val="20"/>
                <w:szCs w:val="20"/>
              </w:rPr>
            </w:pPr>
            <w:r w:rsidRPr="00EA7AEA">
              <w:rPr>
                <w:rFonts w:cs="Arial"/>
                <w:sz w:val="20"/>
                <w:szCs w:val="20"/>
              </w:rPr>
              <w:t xml:space="preserve">Direct Access Diagnostics </w:t>
            </w:r>
            <w:r w:rsidR="00185F74" w:rsidRPr="00EA7AEA">
              <w:rPr>
                <w:rFonts w:cs="Arial"/>
                <w:sz w:val="20"/>
                <w:szCs w:val="20"/>
              </w:rPr>
              <w:t>for:</w:t>
            </w:r>
          </w:p>
          <w:p w:rsidR="00185F74" w:rsidRPr="00EA7AEA" w:rsidRDefault="00185F74" w:rsidP="00EF4FDC">
            <w:pPr>
              <w:autoSpaceDE w:val="0"/>
              <w:autoSpaceDN w:val="0"/>
              <w:adjustRightInd w:val="0"/>
              <w:rPr>
                <w:rFonts w:cs="Arial"/>
                <w:sz w:val="20"/>
                <w:szCs w:val="20"/>
              </w:rPr>
            </w:pPr>
          </w:p>
          <w:p w:rsidR="00185F74" w:rsidRPr="00EA7AEA" w:rsidRDefault="00EF4FDC" w:rsidP="00185F74">
            <w:pPr>
              <w:pStyle w:val="ListParagraph"/>
              <w:numPr>
                <w:ilvl w:val="0"/>
                <w:numId w:val="43"/>
              </w:numPr>
              <w:tabs>
                <w:tab w:val="clear" w:pos="1561"/>
                <w:tab w:val="num" w:pos="284"/>
              </w:tabs>
              <w:autoSpaceDE w:val="0"/>
              <w:autoSpaceDN w:val="0"/>
              <w:adjustRightInd w:val="0"/>
              <w:ind w:hanging="1544"/>
              <w:rPr>
                <w:rFonts w:cs="Arial"/>
                <w:sz w:val="20"/>
                <w:szCs w:val="20"/>
              </w:rPr>
            </w:pPr>
            <w:r w:rsidRPr="00EA7AEA">
              <w:rPr>
                <w:rFonts w:cs="Arial"/>
                <w:sz w:val="20"/>
                <w:szCs w:val="20"/>
              </w:rPr>
              <w:t>CT</w:t>
            </w:r>
          </w:p>
          <w:p w:rsidR="00185F74" w:rsidRPr="00EA7AEA" w:rsidRDefault="00EF4FDC" w:rsidP="00185F74">
            <w:pPr>
              <w:pStyle w:val="ListParagraph"/>
              <w:numPr>
                <w:ilvl w:val="0"/>
                <w:numId w:val="43"/>
              </w:numPr>
              <w:tabs>
                <w:tab w:val="clear" w:pos="1561"/>
                <w:tab w:val="num" w:pos="284"/>
              </w:tabs>
              <w:autoSpaceDE w:val="0"/>
              <w:autoSpaceDN w:val="0"/>
              <w:adjustRightInd w:val="0"/>
              <w:ind w:hanging="1544"/>
              <w:rPr>
                <w:rFonts w:cs="Arial"/>
                <w:sz w:val="20"/>
                <w:szCs w:val="20"/>
              </w:rPr>
            </w:pPr>
            <w:r w:rsidRPr="00EA7AEA">
              <w:rPr>
                <w:rFonts w:cs="Arial"/>
                <w:sz w:val="20"/>
                <w:szCs w:val="20"/>
              </w:rPr>
              <w:t>Endoscopy</w:t>
            </w:r>
          </w:p>
          <w:p w:rsidR="00185F74" w:rsidRPr="00EA7AEA" w:rsidRDefault="00EF4FDC" w:rsidP="00185F74">
            <w:pPr>
              <w:pStyle w:val="ListParagraph"/>
              <w:numPr>
                <w:ilvl w:val="0"/>
                <w:numId w:val="43"/>
              </w:numPr>
              <w:tabs>
                <w:tab w:val="clear" w:pos="1561"/>
                <w:tab w:val="num" w:pos="284"/>
              </w:tabs>
              <w:autoSpaceDE w:val="0"/>
              <w:autoSpaceDN w:val="0"/>
              <w:adjustRightInd w:val="0"/>
              <w:ind w:hanging="1544"/>
              <w:rPr>
                <w:rFonts w:cs="Arial"/>
                <w:sz w:val="20"/>
                <w:szCs w:val="20"/>
              </w:rPr>
            </w:pPr>
            <w:r w:rsidRPr="00EA7AEA">
              <w:rPr>
                <w:rFonts w:cs="Arial"/>
                <w:sz w:val="20"/>
                <w:szCs w:val="20"/>
              </w:rPr>
              <w:t>MRI</w:t>
            </w:r>
          </w:p>
          <w:p w:rsidR="005E2C79" w:rsidRPr="00EA7AEA" w:rsidRDefault="00EF4FDC" w:rsidP="00185F74">
            <w:pPr>
              <w:pStyle w:val="ListParagraph"/>
              <w:numPr>
                <w:ilvl w:val="0"/>
                <w:numId w:val="43"/>
              </w:numPr>
              <w:tabs>
                <w:tab w:val="clear" w:pos="1561"/>
                <w:tab w:val="num" w:pos="284"/>
              </w:tabs>
              <w:autoSpaceDE w:val="0"/>
              <w:autoSpaceDN w:val="0"/>
              <w:adjustRightInd w:val="0"/>
              <w:ind w:hanging="1544"/>
              <w:rPr>
                <w:rFonts w:cs="Arial"/>
                <w:sz w:val="20"/>
                <w:szCs w:val="20"/>
              </w:rPr>
            </w:pPr>
            <w:r w:rsidRPr="00EA7AEA">
              <w:rPr>
                <w:rFonts w:cs="Arial"/>
                <w:sz w:val="20"/>
                <w:szCs w:val="20"/>
              </w:rPr>
              <w:t>Non-Obstetric Ultrasound)</w:t>
            </w:r>
          </w:p>
          <w:p w:rsidR="00185F74" w:rsidRPr="00EA7AEA" w:rsidRDefault="00185F74" w:rsidP="00185F74">
            <w:pPr>
              <w:autoSpaceDE w:val="0"/>
              <w:autoSpaceDN w:val="0"/>
              <w:adjustRightInd w:val="0"/>
              <w:rPr>
                <w:rFonts w:cs="Arial"/>
                <w:b/>
                <w:bCs/>
                <w:sz w:val="20"/>
                <w:szCs w:val="20"/>
                <w:u w:val="single"/>
              </w:rPr>
            </w:pPr>
          </w:p>
        </w:tc>
        <w:tc>
          <w:tcPr>
            <w:tcW w:w="3402" w:type="dxa"/>
          </w:tcPr>
          <w:p w:rsidR="002357EA" w:rsidRPr="00EA7AEA" w:rsidRDefault="002357EA" w:rsidP="005E2C79">
            <w:pPr>
              <w:autoSpaceDE w:val="0"/>
              <w:autoSpaceDN w:val="0"/>
              <w:adjustRightInd w:val="0"/>
              <w:rPr>
                <w:rFonts w:cs="Arial"/>
                <w:sz w:val="20"/>
                <w:szCs w:val="20"/>
              </w:rPr>
            </w:pPr>
            <w:r w:rsidRPr="00EA7AEA">
              <w:rPr>
                <w:rFonts w:cs="Arial"/>
                <w:sz w:val="20"/>
                <w:szCs w:val="20"/>
              </w:rPr>
              <w:t>Diversify Provision</w:t>
            </w:r>
          </w:p>
          <w:p w:rsidR="005E2C79" w:rsidRPr="00EA7AEA" w:rsidRDefault="005E2C79" w:rsidP="005E2C79">
            <w:pPr>
              <w:autoSpaceDE w:val="0"/>
              <w:autoSpaceDN w:val="0"/>
              <w:adjustRightInd w:val="0"/>
              <w:rPr>
                <w:rFonts w:cs="Arial"/>
                <w:sz w:val="20"/>
                <w:szCs w:val="20"/>
              </w:rPr>
            </w:pPr>
            <w:r w:rsidRPr="00EA7AEA">
              <w:rPr>
                <w:rFonts w:cs="Arial"/>
                <w:sz w:val="20"/>
                <w:szCs w:val="20"/>
              </w:rPr>
              <w:t>Clear signalling to the market and market stimulation</w:t>
            </w:r>
          </w:p>
          <w:p w:rsidR="005E2C79" w:rsidRPr="00EA7AEA" w:rsidRDefault="005E2C79" w:rsidP="005E2C79">
            <w:pPr>
              <w:autoSpaceDE w:val="0"/>
              <w:autoSpaceDN w:val="0"/>
              <w:adjustRightInd w:val="0"/>
              <w:rPr>
                <w:rFonts w:cs="Arial"/>
                <w:b/>
                <w:bCs/>
                <w:sz w:val="20"/>
                <w:szCs w:val="20"/>
                <w:u w:val="single"/>
              </w:rPr>
            </w:pPr>
            <w:r w:rsidRPr="00EA7AEA">
              <w:rPr>
                <w:rFonts w:cs="Arial"/>
                <w:sz w:val="20"/>
                <w:szCs w:val="20"/>
              </w:rPr>
              <w:t>Choice and information</w:t>
            </w:r>
          </w:p>
        </w:tc>
        <w:tc>
          <w:tcPr>
            <w:tcW w:w="2268" w:type="dxa"/>
          </w:tcPr>
          <w:p w:rsidR="005E2C79" w:rsidRPr="00EA7AEA" w:rsidRDefault="00EF4FDC" w:rsidP="005E2C79">
            <w:pPr>
              <w:autoSpaceDE w:val="0"/>
              <w:autoSpaceDN w:val="0"/>
              <w:adjustRightInd w:val="0"/>
              <w:rPr>
                <w:rFonts w:cs="Arial"/>
                <w:sz w:val="20"/>
                <w:szCs w:val="20"/>
              </w:rPr>
            </w:pPr>
            <w:r w:rsidRPr="00EA7AEA">
              <w:rPr>
                <w:rFonts w:cs="Arial"/>
                <w:sz w:val="20"/>
                <w:szCs w:val="20"/>
              </w:rPr>
              <w:t>Any Qualified Provider</w:t>
            </w:r>
          </w:p>
        </w:tc>
      </w:tr>
      <w:tr w:rsidR="00BE69CE" w:rsidRPr="00EA7AEA" w:rsidTr="00EF4FDC">
        <w:tc>
          <w:tcPr>
            <w:tcW w:w="3510" w:type="dxa"/>
          </w:tcPr>
          <w:p w:rsidR="005E2C79" w:rsidRPr="00EA7AEA" w:rsidRDefault="00EF4FDC" w:rsidP="00EF4FDC">
            <w:pPr>
              <w:autoSpaceDE w:val="0"/>
              <w:autoSpaceDN w:val="0"/>
              <w:adjustRightInd w:val="0"/>
              <w:rPr>
                <w:rFonts w:cs="Arial"/>
                <w:b/>
                <w:bCs/>
                <w:sz w:val="20"/>
                <w:szCs w:val="20"/>
                <w:u w:val="single"/>
              </w:rPr>
            </w:pPr>
            <w:r w:rsidRPr="00EA7AEA">
              <w:rPr>
                <w:rFonts w:cs="Arial"/>
                <w:sz w:val="20"/>
                <w:szCs w:val="20"/>
              </w:rPr>
              <w:t>Community Drug &amp; Alcohol Treatment Services</w:t>
            </w:r>
          </w:p>
        </w:tc>
        <w:tc>
          <w:tcPr>
            <w:tcW w:w="3402" w:type="dxa"/>
          </w:tcPr>
          <w:p w:rsidR="005E2C79" w:rsidRPr="00EA7AEA" w:rsidRDefault="005E2C79" w:rsidP="005E2C79">
            <w:pPr>
              <w:autoSpaceDE w:val="0"/>
              <w:autoSpaceDN w:val="0"/>
              <w:adjustRightInd w:val="0"/>
              <w:rPr>
                <w:rFonts w:cs="Arial"/>
                <w:sz w:val="20"/>
                <w:szCs w:val="20"/>
              </w:rPr>
            </w:pPr>
            <w:r w:rsidRPr="00EA7AEA">
              <w:rPr>
                <w:rFonts w:cs="Arial"/>
                <w:sz w:val="20"/>
                <w:szCs w:val="20"/>
              </w:rPr>
              <w:t>Clear signalling to the market and market stimulation</w:t>
            </w:r>
          </w:p>
          <w:p w:rsidR="005E2C79" w:rsidRPr="00EA7AEA" w:rsidRDefault="005E2C79" w:rsidP="005E2C79">
            <w:pPr>
              <w:autoSpaceDE w:val="0"/>
              <w:autoSpaceDN w:val="0"/>
              <w:adjustRightInd w:val="0"/>
              <w:rPr>
                <w:rFonts w:cs="Arial"/>
                <w:sz w:val="20"/>
                <w:szCs w:val="20"/>
              </w:rPr>
            </w:pPr>
            <w:r w:rsidRPr="00EA7AEA">
              <w:rPr>
                <w:rFonts w:cs="Arial"/>
                <w:sz w:val="20"/>
                <w:szCs w:val="20"/>
              </w:rPr>
              <w:t>Joint commissioning</w:t>
            </w:r>
          </w:p>
        </w:tc>
        <w:tc>
          <w:tcPr>
            <w:tcW w:w="2268" w:type="dxa"/>
          </w:tcPr>
          <w:p w:rsidR="005E2C79" w:rsidRPr="00EA7AEA" w:rsidRDefault="005E2C79" w:rsidP="005E2C79">
            <w:pPr>
              <w:autoSpaceDE w:val="0"/>
              <w:autoSpaceDN w:val="0"/>
              <w:adjustRightInd w:val="0"/>
              <w:rPr>
                <w:rFonts w:cs="Arial"/>
                <w:sz w:val="20"/>
                <w:szCs w:val="20"/>
              </w:rPr>
            </w:pPr>
            <w:r w:rsidRPr="00EA7AEA">
              <w:rPr>
                <w:rFonts w:cs="Arial"/>
                <w:sz w:val="20"/>
                <w:szCs w:val="20"/>
              </w:rPr>
              <w:t>Competitive tender</w:t>
            </w:r>
          </w:p>
        </w:tc>
      </w:tr>
      <w:tr w:rsidR="00BE69CE" w:rsidRPr="00EA7AEA" w:rsidTr="00EF4FDC">
        <w:tc>
          <w:tcPr>
            <w:tcW w:w="3510" w:type="dxa"/>
          </w:tcPr>
          <w:p w:rsidR="005E2C79" w:rsidRPr="00EA7AEA" w:rsidRDefault="00EF4FDC" w:rsidP="005E2C79">
            <w:pPr>
              <w:autoSpaceDE w:val="0"/>
              <w:autoSpaceDN w:val="0"/>
              <w:adjustRightInd w:val="0"/>
              <w:rPr>
                <w:rFonts w:cs="Arial"/>
                <w:sz w:val="20"/>
                <w:szCs w:val="20"/>
              </w:rPr>
            </w:pPr>
            <w:r w:rsidRPr="00EA7AEA">
              <w:rPr>
                <w:rFonts w:cs="Arial"/>
                <w:sz w:val="20"/>
                <w:szCs w:val="20"/>
              </w:rPr>
              <w:t>Elective Care Services</w:t>
            </w:r>
          </w:p>
        </w:tc>
        <w:tc>
          <w:tcPr>
            <w:tcW w:w="3402" w:type="dxa"/>
          </w:tcPr>
          <w:p w:rsidR="005E2C79" w:rsidRPr="00EA7AEA" w:rsidRDefault="005E2C79" w:rsidP="005E2C79">
            <w:pPr>
              <w:autoSpaceDE w:val="0"/>
              <w:autoSpaceDN w:val="0"/>
              <w:adjustRightInd w:val="0"/>
              <w:rPr>
                <w:rFonts w:cs="Arial"/>
                <w:sz w:val="20"/>
                <w:szCs w:val="20"/>
              </w:rPr>
            </w:pPr>
            <w:r w:rsidRPr="00EA7AEA">
              <w:rPr>
                <w:rFonts w:cs="Arial"/>
                <w:sz w:val="20"/>
                <w:szCs w:val="20"/>
              </w:rPr>
              <w:t>Diversify Provision</w:t>
            </w:r>
          </w:p>
          <w:p w:rsidR="005E2C79" w:rsidRPr="00EA7AEA" w:rsidRDefault="005E2C79" w:rsidP="005E2C79">
            <w:pPr>
              <w:autoSpaceDE w:val="0"/>
              <w:autoSpaceDN w:val="0"/>
              <w:adjustRightInd w:val="0"/>
              <w:rPr>
                <w:rFonts w:cs="Arial"/>
                <w:sz w:val="20"/>
                <w:szCs w:val="20"/>
              </w:rPr>
            </w:pPr>
            <w:r w:rsidRPr="00EA7AEA">
              <w:rPr>
                <w:rFonts w:cs="Arial"/>
                <w:sz w:val="20"/>
                <w:szCs w:val="20"/>
              </w:rPr>
              <w:t>Choice and Information</w:t>
            </w:r>
          </w:p>
          <w:p w:rsidR="005E2C79" w:rsidRPr="00EA7AEA" w:rsidRDefault="005E2C79" w:rsidP="005E2C79">
            <w:pPr>
              <w:autoSpaceDE w:val="0"/>
              <w:autoSpaceDN w:val="0"/>
              <w:adjustRightInd w:val="0"/>
              <w:rPr>
                <w:rFonts w:cs="Arial"/>
                <w:sz w:val="20"/>
                <w:szCs w:val="20"/>
              </w:rPr>
            </w:pPr>
            <w:r w:rsidRPr="00EA7AEA">
              <w:rPr>
                <w:rFonts w:cs="Arial"/>
                <w:sz w:val="20"/>
                <w:szCs w:val="20"/>
              </w:rPr>
              <w:t>Clear signalling to the market and market stimulation</w:t>
            </w:r>
          </w:p>
        </w:tc>
        <w:tc>
          <w:tcPr>
            <w:tcW w:w="2268" w:type="dxa"/>
          </w:tcPr>
          <w:p w:rsidR="005E2C79" w:rsidRPr="00EA7AEA" w:rsidRDefault="00EF4FDC" w:rsidP="005E2C79">
            <w:pPr>
              <w:autoSpaceDE w:val="0"/>
              <w:autoSpaceDN w:val="0"/>
              <w:adjustRightInd w:val="0"/>
              <w:rPr>
                <w:rFonts w:cs="Arial"/>
                <w:sz w:val="20"/>
                <w:szCs w:val="20"/>
              </w:rPr>
            </w:pPr>
            <w:r w:rsidRPr="00EA7AEA">
              <w:rPr>
                <w:rFonts w:cs="Arial"/>
                <w:sz w:val="20"/>
                <w:szCs w:val="20"/>
              </w:rPr>
              <w:t>Any Qualified Provider</w:t>
            </w:r>
          </w:p>
        </w:tc>
      </w:tr>
      <w:tr w:rsidR="00BE69CE" w:rsidRPr="00EA7AEA" w:rsidTr="00EF4FDC">
        <w:tc>
          <w:tcPr>
            <w:tcW w:w="3510" w:type="dxa"/>
          </w:tcPr>
          <w:p w:rsidR="005E2C79" w:rsidRPr="00EA7AEA" w:rsidRDefault="00EF4FDC" w:rsidP="00EF4FDC">
            <w:pPr>
              <w:autoSpaceDE w:val="0"/>
              <w:autoSpaceDN w:val="0"/>
              <w:adjustRightInd w:val="0"/>
              <w:rPr>
                <w:rFonts w:cs="Arial"/>
                <w:sz w:val="20"/>
                <w:szCs w:val="20"/>
              </w:rPr>
            </w:pPr>
            <w:r w:rsidRPr="00EA7AEA">
              <w:rPr>
                <w:rFonts w:cs="Arial"/>
                <w:sz w:val="20"/>
                <w:szCs w:val="20"/>
              </w:rPr>
              <w:t>Provision of NHS Dental Services</w:t>
            </w:r>
          </w:p>
        </w:tc>
        <w:tc>
          <w:tcPr>
            <w:tcW w:w="3402" w:type="dxa"/>
          </w:tcPr>
          <w:p w:rsidR="005E2C79" w:rsidRPr="00EA7AEA" w:rsidRDefault="005E2C79" w:rsidP="005E2C79">
            <w:pPr>
              <w:autoSpaceDE w:val="0"/>
              <w:autoSpaceDN w:val="0"/>
              <w:adjustRightInd w:val="0"/>
              <w:rPr>
                <w:rFonts w:cs="Arial"/>
                <w:sz w:val="20"/>
                <w:szCs w:val="20"/>
              </w:rPr>
            </w:pPr>
            <w:r w:rsidRPr="00EA7AEA">
              <w:rPr>
                <w:rFonts w:cs="Arial"/>
                <w:sz w:val="20"/>
                <w:szCs w:val="20"/>
              </w:rPr>
              <w:t>Diversify Provision</w:t>
            </w:r>
          </w:p>
        </w:tc>
        <w:tc>
          <w:tcPr>
            <w:tcW w:w="2268" w:type="dxa"/>
          </w:tcPr>
          <w:p w:rsidR="005E2C79" w:rsidRPr="00EA7AEA" w:rsidRDefault="00EF4FDC" w:rsidP="005E2C79">
            <w:pPr>
              <w:autoSpaceDE w:val="0"/>
              <w:autoSpaceDN w:val="0"/>
              <w:adjustRightInd w:val="0"/>
              <w:rPr>
                <w:rFonts w:cs="Arial"/>
                <w:sz w:val="20"/>
                <w:szCs w:val="20"/>
              </w:rPr>
            </w:pPr>
            <w:r w:rsidRPr="00EA7AEA">
              <w:rPr>
                <w:rFonts w:cs="Arial"/>
                <w:sz w:val="20"/>
                <w:szCs w:val="20"/>
              </w:rPr>
              <w:t>Competitive tender</w:t>
            </w:r>
          </w:p>
        </w:tc>
      </w:tr>
      <w:tr w:rsidR="00BE69CE" w:rsidRPr="00EA7AEA" w:rsidTr="00EF4FDC">
        <w:tc>
          <w:tcPr>
            <w:tcW w:w="3510" w:type="dxa"/>
          </w:tcPr>
          <w:p w:rsidR="005E2C79" w:rsidRPr="00EA7AEA" w:rsidRDefault="00EF4FDC" w:rsidP="005E2C79">
            <w:pPr>
              <w:autoSpaceDE w:val="0"/>
              <w:autoSpaceDN w:val="0"/>
              <w:adjustRightInd w:val="0"/>
              <w:rPr>
                <w:rFonts w:cs="Arial"/>
                <w:sz w:val="20"/>
                <w:szCs w:val="20"/>
              </w:rPr>
            </w:pPr>
            <w:r w:rsidRPr="00EA7AEA">
              <w:rPr>
                <w:rFonts w:cs="Arial"/>
                <w:sz w:val="20"/>
                <w:szCs w:val="20"/>
              </w:rPr>
              <w:t>Provision of Diabetic Eye Screening Services</w:t>
            </w:r>
          </w:p>
        </w:tc>
        <w:tc>
          <w:tcPr>
            <w:tcW w:w="3402" w:type="dxa"/>
          </w:tcPr>
          <w:p w:rsidR="005E2C79" w:rsidRPr="00EA7AEA" w:rsidRDefault="00EF4FDC" w:rsidP="00EF4FDC">
            <w:pPr>
              <w:autoSpaceDE w:val="0"/>
              <w:autoSpaceDN w:val="0"/>
              <w:adjustRightInd w:val="0"/>
              <w:rPr>
                <w:rFonts w:cs="Arial"/>
                <w:sz w:val="20"/>
                <w:szCs w:val="20"/>
              </w:rPr>
            </w:pPr>
            <w:r w:rsidRPr="00EA7AEA">
              <w:rPr>
                <w:rFonts w:cs="Arial"/>
                <w:sz w:val="20"/>
                <w:szCs w:val="20"/>
              </w:rPr>
              <w:t>Clear signalling to the market / m</w:t>
            </w:r>
            <w:r w:rsidR="005E2C79" w:rsidRPr="00EA7AEA">
              <w:rPr>
                <w:rFonts w:cs="Arial"/>
                <w:sz w:val="20"/>
                <w:szCs w:val="20"/>
              </w:rPr>
              <w:t>arket stimulation</w:t>
            </w:r>
            <w:r w:rsidRPr="00EA7AEA">
              <w:rPr>
                <w:rFonts w:cs="Arial"/>
                <w:sz w:val="20"/>
                <w:szCs w:val="20"/>
              </w:rPr>
              <w:t>.</w:t>
            </w:r>
          </w:p>
          <w:p w:rsidR="00EF4FDC" w:rsidRPr="00EA7AEA" w:rsidRDefault="00EF4FDC" w:rsidP="00EF4FDC">
            <w:pPr>
              <w:autoSpaceDE w:val="0"/>
              <w:autoSpaceDN w:val="0"/>
              <w:adjustRightInd w:val="0"/>
              <w:rPr>
                <w:rFonts w:cs="Arial"/>
                <w:sz w:val="20"/>
                <w:szCs w:val="20"/>
              </w:rPr>
            </w:pPr>
            <w:r w:rsidRPr="00EA7AEA">
              <w:rPr>
                <w:rFonts w:cs="Arial"/>
                <w:sz w:val="20"/>
                <w:szCs w:val="20"/>
              </w:rPr>
              <w:t>Simplified care pathway</w:t>
            </w:r>
          </w:p>
          <w:p w:rsidR="00EF4FDC" w:rsidRPr="00EA7AEA" w:rsidRDefault="00EF4FDC" w:rsidP="00EF4FDC">
            <w:pPr>
              <w:autoSpaceDE w:val="0"/>
              <w:autoSpaceDN w:val="0"/>
              <w:adjustRightInd w:val="0"/>
              <w:rPr>
                <w:rFonts w:cs="Arial"/>
                <w:sz w:val="20"/>
                <w:szCs w:val="20"/>
              </w:rPr>
            </w:pPr>
            <w:r w:rsidRPr="00EA7AEA">
              <w:rPr>
                <w:rFonts w:cs="Arial"/>
                <w:sz w:val="20"/>
                <w:szCs w:val="20"/>
              </w:rPr>
              <w:t>Overall cost reduction</w:t>
            </w:r>
          </w:p>
        </w:tc>
        <w:tc>
          <w:tcPr>
            <w:tcW w:w="2268" w:type="dxa"/>
          </w:tcPr>
          <w:p w:rsidR="005E2C79" w:rsidRPr="00EA7AEA" w:rsidRDefault="005E2C79" w:rsidP="005E2C79">
            <w:pPr>
              <w:autoSpaceDE w:val="0"/>
              <w:autoSpaceDN w:val="0"/>
              <w:adjustRightInd w:val="0"/>
              <w:rPr>
                <w:rFonts w:cs="Arial"/>
                <w:sz w:val="20"/>
                <w:szCs w:val="20"/>
              </w:rPr>
            </w:pPr>
            <w:r w:rsidRPr="00EA7AEA">
              <w:rPr>
                <w:rFonts w:cs="Arial"/>
                <w:sz w:val="20"/>
                <w:szCs w:val="20"/>
              </w:rPr>
              <w:t>Competitive tender</w:t>
            </w:r>
          </w:p>
        </w:tc>
      </w:tr>
    </w:tbl>
    <w:p w:rsidR="005E2C79" w:rsidRPr="00EA7AEA" w:rsidRDefault="00EF4FDC" w:rsidP="00EF4FDC">
      <w:pPr>
        <w:jc w:val="center"/>
        <w:rPr>
          <w:rFonts w:cs="Arial"/>
          <w:b/>
        </w:rPr>
      </w:pPr>
      <w:r w:rsidRPr="00EA7AEA">
        <w:rPr>
          <w:rFonts w:cs="Arial"/>
          <w:bCs/>
          <w:sz w:val="18"/>
          <w:szCs w:val="18"/>
        </w:rPr>
        <w:t>Table 2: Categories already addressed:</w:t>
      </w:r>
    </w:p>
    <w:p w:rsidR="00EF4FDC" w:rsidRPr="00EA7AEA" w:rsidRDefault="00EF4FDC" w:rsidP="005E2C79">
      <w:pPr>
        <w:jc w:val="both"/>
        <w:rPr>
          <w:rFonts w:cs="Arial"/>
          <w:b/>
        </w:rPr>
      </w:pPr>
    </w:p>
    <w:p w:rsidR="00EF4FDC" w:rsidRPr="00EA7AEA" w:rsidRDefault="00EF4FDC" w:rsidP="005E2C79">
      <w:pPr>
        <w:jc w:val="both"/>
        <w:rPr>
          <w:rFonts w:cs="Arial"/>
          <w:b/>
        </w:rPr>
      </w:pPr>
    </w:p>
    <w:p w:rsidR="005E2C79" w:rsidRPr="00EA7AEA" w:rsidRDefault="005E2C79" w:rsidP="00F307E3">
      <w:pPr>
        <w:ind w:left="709" w:hanging="709"/>
        <w:jc w:val="both"/>
        <w:rPr>
          <w:rFonts w:cs="Arial"/>
          <w:b/>
          <w:u w:val="single"/>
        </w:rPr>
      </w:pPr>
      <w:r w:rsidRPr="00EA7AEA">
        <w:rPr>
          <w:rFonts w:cs="Arial"/>
        </w:rPr>
        <w:t>9</w:t>
      </w:r>
      <w:r w:rsidRPr="00EA7AEA">
        <w:rPr>
          <w:rFonts w:cs="Arial"/>
        </w:rPr>
        <w:tab/>
      </w:r>
      <w:r w:rsidRPr="00EA7AEA">
        <w:rPr>
          <w:rFonts w:cs="Arial"/>
          <w:u w:val="single"/>
        </w:rPr>
        <w:t>Measurement of Success</w:t>
      </w:r>
      <w:r w:rsidR="00EF5A4C" w:rsidRPr="00EA7AEA">
        <w:rPr>
          <w:rFonts w:cs="Arial"/>
          <w:b/>
          <w:u w:val="single"/>
        </w:rPr>
        <w:t>:</w:t>
      </w:r>
    </w:p>
    <w:p w:rsidR="005E2C79" w:rsidRPr="00EA7AEA" w:rsidRDefault="005E2C79" w:rsidP="005E2C79">
      <w:pPr>
        <w:ind w:left="720" w:hanging="720"/>
        <w:jc w:val="both"/>
        <w:rPr>
          <w:rFonts w:cs="Arial"/>
        </w:rPr>
      </w:pPr>
    </w:p>
    <w:p w:rsidR="005E2C79" w:rsidRPr="00EA7AEA" w:rsidRDefault="005E2C79" w:rsidP="002357EA">
      <w:pPr>
        <w:numPr>
          <w:ilvl w:val="0"/>
          <w:numId w:val="17"/>
        </w:numPr>
        <w:tabs>
          <w:tab w:val="clear" w:pos="1561"/>
          <w:tab w:val="num" w:pos="1134"/>
        </w:tabs>
        <w:ind w:hanging="835"/>
        <w:jc w:val="both"/>
        <w:rPr>
          <w:rFonts w:cs="Arial"/>
          <w:i/>
        </w:rPr>
      </w:pPr>
      <w:r w:rsidRPr="00EA7AEA">
        <w:rPr>
          <w:rFonts w:cs="Arial"/>
        </w:rPr>
        <w:t>Clear articulation of current and future provider market</w:t>
      </w:r>
    </w:p>
    <w:p w:rsidR="005E2C79" w:rsidRPr="00EA7AEA" w:rsidRDefault="005E2C79" w:rsidP="002357EA">
      <w:pPr>
        <w:numPr>
          <w:ilvl w:val="0"/>
          <w:numId w:val="17"/>
        </w:numPr>
        <w:tabs>
          <w:tab w:val="clear" w:pos="1561"/>
          <w:tab w:val="num" w:pos="1134"/>
        </w:tabs>
        <w:ind w:hanging="835"/>
        <w:jc w:val="both"/>
        <w:rPr>
          <w:rFonts w:cs="Arial"/>
          <w:i/>
        </w:rPr>
      </w:pPr>
      <w:r w:rsidRPr="00EA7AEA">
        <w:rPr>
          <w:rFonts w:cs="Arial"/>
        </w:rPr>
        <w:t>Robust contracts negotiated with clear outcome measures</w:t>
      </w:r>
    </w:p>
    <w:p w:rsidR="005E2C79" w:rsidRPr="00EA7AEA" w:rsidRDefault="005E2C79" w:rsidP="002357EA">
      <w:pPr>
        <w:numPr>
          <w:ilvl w:val="0"/>
          <w:numId w:val="17"/>
        </w:numPr>
        <w:tabs>
          <w:tab w:val="clear" w:pos="1561"/>
          <w:tab w:val="num" w:pos="1134"/>
        </w:tabs>
        <w:ind w:hanging="835"/>
        <w:jc w:val="both"/>
        <w:rPr>
          <w:rFonts w:cs="Arial"/>
          <w:i/>
        </w:rPr>
      </w:pPr>
      <w:r w:rsidRPr="00EA7AEA">
        <w:rPr>
          <w:rFonts w:cs="Arial"/>
        </w:rPr>
        <w:t>Robust contract/performance management processes in place</w:t>
      </w:r>
    </w:p>
    <w:p w:rsidR="005E2C79" w:rsidRPr="00EA7AEA" w:rsidRDefault="005E2C79" w:rsidP="002357EA">
      <w:pPr>
        <w:numPr>
          <w:ilvl w:val="0"/>
          <w:numId w:val="17"/>
        </w:numPr>
        <w:tabs>
          <w:tab w:val="clear" w:pos="1561"/>
          <w:tab w:val="num" w:pos="1134"/>
        </w:tabs>
        <w:ind w:hanging="835"/>
        <w:jc w:val="both"/>
        <w:rPr>
          <w:rFonts w:cs="Arial"/>
        </w:rPr>
      </w:pPr>
      <w:r w:rsidRPr="00EA7AEA">
        <w:rPr>
          <w:rFonts w:cs="Arial"/>
        </w:rPr>
        <w:t>Capability is improved within the organisation</w:t>
      </w:r>
    </w:p>
    <w:p w:rsidR="005E2C79" w:rsidRPr="00EA7AEA" w:rsidRDefault="005E2C79" w:rsidP="005E2C79">
      <w:pPr>
        <w:jc w:val="both"/>
        <w:rPr>
          <w:rFonts w:cs="Arial"/>
          <w:b/>
        </w:rPr>
      </w:pPr>
    </w:p>
    <w:p w:rsidR="005E2C79" w:rsidRPr="00EA7AEA" w:rsidRDefault="005E2C79" w:rsidP="005E2C79">
      <w:pPr>
        <w:jc w:val="both"/>
        <w:rPr>
          <w:rFonts w:cs="Arial"/>
          <w:u w:val="single"/>
        </w:rPr>
      </w:pPr>
      <w:r w:rsidRPr="00EA7AEA">
        <w:rPr>
          <w:rFonts w:cs="Arial"/>
        </w:rPr>
        <w:t>10</w:t>
      </w:r>
      <w:r w:rsidRPr="00EA7AEA">
        <w:rPr>
          <w:rFonts w:cs="Arial"/>
        </w:rPr>
        <w:tab/>
      </w:r>
      <w:r w:rsidRPr="00EA7AEA">
        <w:rPr>
          <w:rFonts w:cs="Arial"/>
          <w:u w:val="single"/>
        </w:rPr>
        <w:t>Conclusion</w:t>
      </w:r>
      <w:r w:rsidR="00EF5A4C" w:rsidRPr="00EA7AEA">
        <w:rPr>
          <w:rFonts w:cs="Arial"/>
          <w:u w:val="single"/>
        </w:rPr>
        <w:t>:</w:t>
      </w:r>
    </w:p>
    <w:p w:rsidR="005E2C79" w:rsidRPr="00EA7AEA" w:rsidRDefault="005E2C79" w:rsidP="005E2C79">
      <w:pPr>
        <w:jc w:val="both"/>
        <w:rPr>
          <w:rFonts w:cs="Arial"/>
          <w:b/>
        </w:rPr>
      </w:pPr>
    </w:p>
    <w:p w:rsidR="005E2C79" w:rsidRPr="00EA7AEA" w:rsidRDefault="005E2C79" w:rsidP="005E2C79">
      <w:pPr>
        <w:jc w:val="both"/>
        <w:rPr>
          <w:rFonts w:cs="Arial"/>
        </w:rPr>
      </w:pPr>
      <w:r w:rsidRPr="00EA7AEA">
        <w:rPr>
          <w:rFonts w:cs="Arial"/>
        </w:rPr>
        <w:t xml:space="preserve">This strategy sets out the </w:t>
      </w:r>
      <w:r w:rsidR="00E2105F" w:rsidRPr="00EA7AEA">
        <w:rPr>
          <w:rFonts w:cs="Arial"/>
        </w:rPr>
        <w:t>G</w:t>
      </w:r>
      <w:r w:rsidR="00686B29" w:rsidRPr="00EA7AEA">
        <w:rPr>
          <w:rFonts w:cs="Arial"/>
        </w:rPr>
        <w:t>CCG</w:t>
      </w:r>
      <w:r w:rsidR="00EF4FDC" w:rsidRPr="00EA7AEA">
        <w:rPr>
          <w:rFonts w:cs="Arial"/>
        </w:rPr>
        <w:t>’</w:t>
      </w:r>
      <w:r w:rsidRPr="00EA7AEA">
        <w:rPr>
          <w:rFonts w:cs="Arial"/>
        </w:rPr>
        <w:t xml:space="preserve">s approach to market management and, together with the </w:t>
      </w:r>
      <w:r w:rsidR="00E2105F" w:rsidRPr="00EA7AEA">
        <w:rPr>
          <w:rFonts w:cs="Arial"/>
        </w:rPr>
        <w:t>G</w:t>
      </w:r>
      <w:r w:rsidR="00686B29" w:rsidRPr="00EA7AEA">
        <w:rPr>
          <w:rFonts w:cs="Arial"/>
        </w:rPr>
        <w:t>CCG</w:t>
      </w:r>
      <w:r w:rsidRPr="00EA7AEA">
        <w:rPr>
          <w:rFonts w:cs="Arial"/>
        </w:rPr>
        <w:t xml:space="preserve"> procurement </w:t>
      </w:r>
      <w:r w:rsidR="002357EA" w:rsidRPr="00EA7AEA">
        <w:rPr>
          <w:rFonts w:cs="Arial"/>
        </w:rPr>
        <w:t>strategy</w:t>
      </w:r>
      <w:r w:rsidRPr="00EA7AEA">
        <w:rPr>
          <w:rFonts w:cs="Arial"/>
        </w:rPr>
        <w:t xml:space="preserve">, forms an integral part of the </w:t>
      </w:r>
      <w:r w:rsidR="00E2105F" w:rsidRPr="00EA7AEA">
        <w:rPr>
          <w:rFonts w:cs="Arial"/>
        </w:rPr>
        <w:t>G</w:t>
      </w:r>
      <w:r w:rsidR="00686B29" w:rsidRPr="00EA7AEA">
        <w:rPr>
          <w:rFonts w:cs="Arial"/>
        </w:rPr>
        <w:t>CCG</w:t>
      </w:r>
      <w:r w:rsidR="00EF4FDC" w:rsidRPr="00EA7AEA">
        <w:rPr>
          <w:rFonts w:cs="Arial"/>
        </w:rPr>
        <w:t>’</w:t>
      </w:r>
      <w:r w:rsidRPr="00EA7AEA">
        <w:rPr>
          <w:rFonts w:cs="Arial"/>
        </w:rPr>
        <w:t xml:space="preserve">s approach to system management. It explains the way in which the dual functions of market analysis and market development will support delivery of the </w:t>
      </w:r>
      <w:r w:rsidR="00E2105F" w:rsidRPr="00EA7AEA">
        <w:rPr>
          <w:rFonts w:cs="Arial"/>
        </w:rPr>
        <w:t>G</w:t>
      </w:r>
      <w:r w:rsidR="00686B29" w:rsidRPr="00EA7AEA">
        <w:rPr>
          <w:rFonts w:cs="Arial"/>
        </w:rPr>
        <w:t>CCG</w:t>
      </w:r>
      <w:r w:rsidR="00EF4FDC" w:rsidRPr="00EA7AEA">
        <w:rPr>
          <w:rFonts w:cs="Arial"/>
        </w:rPr>
        <w:t>’</w:t>
      </w:r>
      <w:r w:rsidRPr="00EA7AEA">
        <w:rPr>
          <w:rFonts w:cs="Arial"/>
        </w:rPr>
        <w:t>s commissioning intentions.</w:t>
      </w:r>
    </w:p>
    <w:p w:rsidR="005E2C79" w:rsidRPr="00EA7AEA" w:rsidRDefault="005E2C79" w:rsidP="005E2C79">
      <w:pPr>
        <w:ind w:left="720"/>
        <w:jc w:val="both"/>
        <w:rPr>
          <w:rFonts w:cs="Arial"/>
        </w:rPr>
      </w:pPr>
    </w:p>
    <w:p w:rsidR="005E2C79" w:rsidRPr="00EA7AEA" w:rsidRDefault="005E2C79" w:rsidP="005E2C79">
      <w:pPr>
        <w:jc w:val="both"/>
        <w:rPr>
          <w:rFonts w:cs="Arial"/>
        </w:rPr>
      </w:pPr>
      <w:r w:rsidRPr="00EA7AEA">
        <w:rPr>
          <w:rFonts w:cs="Arial"/>
        </w:rPr>
        <w:t>Market management is an evolving concept for the NHS and this strategy will require an annual review to ensure that it is consistent with patient experience, national policy and local requirements.</w:t>
      </w:r>
    </w:p>
    <w:p w:rsidR="005E2C79" w:rsidRPr="00EA7AEA" w:rsidRDefault="005E2C79" w:rsidP="005E2C79">
      <w:pPr>
        <w:ind w:left="720"/>
        <w:jc w:val="both"/>
        <w:rPr>
          <w:rFonts w:cs="Arial"/>
        </w:rPr>
      </w:pPr>
    </w:p>
    <w:p w:rsidR="005E2C79" w:rsidRPr="00EA7AEA" w:rsidRDefault="005E2C79" w:rsidP="005E2C79">
      <w:pPr>
        <w:ind w:left="720"/>
        <w:jc w:val="both"/>
        <w:rPr>
          <w:rFonts w:cs="Arial"/>
        </w:rPr>
      </w:pPr>
    </w:p>
    <w:p w:rsidR="005E2C79" w:rsidRPr="00EA7AEA" w:rsidRDefault="005E2C79" w:rsidP="005E2C79">
      <w:pPr>
        <w:ind w:left="720"/>
        <w:jc w:val="both"/>
        <w:rPr>
          <w:rFonts w:cs="Arial"/>
        </w:rPr>
      </w:pPr>
    </w:p>
    <w:p w:rsidR="00A21227" w:rsidRPr="00EA7AEA" w:rsidRDefault="00A21227" w:rsidP="005E2C79">
      <w:pPr>
        <w:ind w:left="720"/>
        <w:jc w:val="both"/>
        <w:rPr>
          <w:rFonts w:cs="Arial"/>
        </w:rPr>
      </w:pPr>
    </w:p>
    <w:p w:rsidR="00F148A6" w:rsidRPr="00EA7AEA" w:rsidRDefault="00E20087" w:rsidP="00F148A6">
      <w:pPr>
        <w:rPr>
          <w:rFonts w:cs="Arial"/>
          <w:b/>
          <w:sz w:val="28"/>
          <w:szCs w:val="28"/>
        </w:rPr>
      </w:pPr>
      <w:r w:rsidRPr="00EA7AEA">
        <w:rPr>
          <w:rFonts w:cs="Arial"/>
          <w:b/>
          <w:sz w:val="28"/>
          <w:szCs w:val="28"/>
        </w:rPr>
        <w:lastRenderedPageBreak/>
        <w:t>Part D</w:t>
      </w:r>
      <w:r w:rsidR="00BE69CE" w:rsidRPr="00EA7AEA">
        <w:rPr>
          <w:rFonts w:cs="Arial"/>
          <w:b/>
          <w:sz w:val="28"/>
          <w:szCs w:val="28"/>
        </w:rPr>
        <w:tab/>
      </w:r>
      <w:r w:rsidRPr="00EA7AEA">
        <w:rPr>
          <w:rFonts w:cs="Arial"/>
          <w:b/>
          <w:sz w:val="28"/>
          <w:szCs w:val="28"/>
        </w:rPr>
        <w:t>Dispute Resolution Policy:</w:t>
      </w:r>
    </w:p>
    <w:p w:rsidR="00E20087" w:rsidRPr="00EA7AEA" w:rsidRDefault="00E20087" w:rsidP="00F148A6">
      <w:pPr>
        <w:rPr>
          <w:rFonts w:cs="Arial"/>
        </w:rPr>
      </w:pPr>
    </w:p>
    <w:p w:rsidR="00E20087" w:rsidRPr="00EA7AEA" w:rsidRDefault="00E20087" w:rsidP="00264B71">
      <w:pPr>
        <w:numPr>
          <w:ilvl w:val="0"/>
          <w:numId w:val="7"/>
        </w:numPr>
        <w:tabs>
          <w:tab w:val="num" w:pos="540"/>
        </w:tabs>
        <w:ind w:left="709" w:hanging="709"/>
        <w:rPr>
          <w:rFonts w:cs="Arial"/>
          <w:u w:val="single"/>
        </w:rPr>
      </w:pPr>
      <w:r w:rsidRPr="00EA7AEA">
        <w:rPr>
          <w:rFonts w:cs="Arial"/>
          <w:u w:val="single"/>
        </w:rPr>
        <w:t>Introduction</w:t>
      </w:r>
      <w:r w:rsidR="007115F7" w:rsidRPr="00EA7AEA">
        <w:rPr>
          <w:rFonts w:cs="Arial"/>
          <w:u w:val="single"/>
        </w:rPr>
        <w:t>:</w:t>
      </w:r>
    </w:p>
    <w:p w:rsidR="00E20087" w:rsidRPr="00EA7AEA" w:rsidRDefault="00E20087" w:rsidP="00E20087">
      <w:pPr>
        <w:tabs>
          <w:tab w:val="num" w:pos="540"/>
        </w:tabs>
        <w:ind w:hanging="720"/>
        <w:rPr>
          <w:rFonts w:cs="Arial"/>
          <w:b/>
          <w:u w:val="single"/>
        </w:rPr>
      </w:pPr>
    </w:p>
    <w:p w:rsidR="00E20087" w:rsidRPr="00EA7AEA" w:rsidRDefault="002F3921" w:rsidP="00E20087">
      <w:pPr>
        <w:tabs>
          <w:tab w:val="num" w:pos="-180"/>
        </w:tabs>
        <w:jc w:val="both"/>
        <w:rPr>
          <w:rFonts w:cs="Arial"/>
        </w:rPr>
      </w:pPr>
      <w:r w:rsidRPr="00EA7AEA">
        <w:rPr>
          <w:rFonts w:cs="Arial"/>
        </w:rPr>
        <w:t xml:space="preserve">NHS </w:t>
      </w:r>
      <w:r w:rsidR="00E20087" w:rsidRPr="00EA7AEA">
        <w:rPr>
          <w:rFonts w:cs="Arial"/>
        </w:rPr>
        <w:t xml:space="preserve">Gloucestershire developed </w:t>
      </w:r>
      <w:r w:rsidR="002D6A2D" w:rsidRPr="00EA7AEA">
        <w:rPr>
          <w:rFonts w:cs="Arial"/>
        </w:rPr>
        <w:t xml:space="preserve">its Dispute Resolution Policy in September 2009 as an addendum to its </w:t>
      </w:r>
      <w:r w:rsidR="00E20087" w:rsidRPr="00EA7AEA">
        <w:rPr>
          <w:rFonts w:cs="Arial"/>
        </w:rPr>
        <w:t>Contestability Framework which was endorsed at its Board meeting in March 2008.  The Disputes Resolution Process document is now updated to reflect changes to the national Principles and Rules for Cooperation and Competition (PRCC) which came into effect on 1 October 2010</w:t>
      </w:r>
      <w:r w:rsidR="002D6A2D" w:rsidRPr="00EA7AEA">
        <w:rPr>
          <w:rFonts w:cs="Arial"/>
        </w:rPr>
        <w:t xml:space="preserve"> and the advent of the NHS Gloucestershire Clinical Commissioning Group</w:t>
      </w:r>
      <w:r w:rsidR="00E2105F" w:rsidRPr="00EA7AEA">
        <w:rPr>
          <w:rFonts w:cs="Arial"/>
        </w:rPr>
        <w:t xml:space="preserve"> (GCCG)</w:t>
      </w:r>
      <w:r w:rsidR="002D6A2D" w:rsidRPr="00EA7AEA">
        <w:rPr>
          <w:rFonts w:cs="Arial"/>
        </w:rPr>
        <w:t>, 1 April 2013</w:t>
      </w:r>
      <w:r w:rsidR="00E20087" w:rsidRPr="00EA7AEA">
        <w:rPr>
          <w:rFonts w:cs="Arial"/>
        </w:rPr>
        <w:t xml:space="preserve">. </w:t>
      </w:r>
    </w:p>
    <w:p w:rsidR="00E20087" w:rsidRPr="00EA7AEA" w:rsidRDefault="00E20087" w:rsidP="00E20087">
      <w:pPr>
        <w:tabs>
          <w:tab w:val="num" w:pos="-180"/>
        </w:tabs>
        <w:jc w:val="both"/>
        <w:rPr>
          <w:rFonts w:cs="Arial"/>
        </w:rPr>
      </w:pPr>
    </w:p>
    <w:p w:rsidR="002D6A2D" w:rsidRPr="00EA7AEA" w:rsidRDefault="002D6A2D" w:rsidP="00E20087">
      <w:pPr>
        <w:tabs>
          <w:tab w:val="num" w:pos="-180"/>
        </w:tabs>
        <w:ind w:right="-154"/>
        <w:jc w:val="both"/>
        <w:rPr>
          <w:rFonts w:cs="Arial"/>
        </w:rPr>
      </w:pPr>
      <w:r w:rsidRPr="00EA7AEA">
        <w:rPr>
          <w:rFonts w:cs="Arial"/>
        </w:rPr>
        <w:t xml:space="preserve">The </w:t>
      </w:r>
      <w:r w:rsidR="00E2105F" w:rsidRPr="00EA7AEA">
        <w:rPr>
          <w:rFonts w:cs="Arial"/>
        </w:rPr>
        <w:t>G</w:t>
      </w:r>
      <w:r w:rsidRPr="00EA7AEA">
        <w:rPr>
          <w:rFonts w:cs="Arial"/>
        </w:rPr>
        <w:t>CCG</w:t>
      </w:r>
      <w:r w:rsidR="00E20087" w:rsidRPr="00EA7AEA">
        <w:rPr>
          <w:rFonts w:cs="Arial"/>
        </w:rPr>
        <w:t xml:space="preserve"> will work to reach resolution of any dispute arising from contracting / commissioning decisions. Disputes</w:t>
      </w:r>
      <w:r w:rsidRPr="00EA7AEA">
        <w:rPr>
          <w:rFonts w:cs="Arial"/>
        </w:rPr>
        <w:t xml:space="preserve">, not resolved </w:t>
      </w:r>
      <w:r w:rsidR="00E20087" w:rsidRPr="00EA7AEA">
        <w:rPr>
          <w:rFonts w:cs="Arial"/>
        </w:rPr>
        <w:t>by access to any contractual terms that may exist between them, may arise over decisions about contractual sanctions and termination, remuneration, practice area and ‘opt-outs</w:t>
      </w:r>
      <w:r w:rsidRPr="00EA7AEA">
        <w:rPr>
          <w:rFonts w:cs="Arial"/>
        </w:rPr>
        <w:t>.</w:t>
      </w:r>
      <w:r w:rsidR="00E20087" w:rsidRPr="00EA7AEA">
        <w:rPr>
          <w:rFonts w:cs="Arial"/>
        </w:rPr>
        <w:t>’</w:t>
      </w:r>
      <w:r w:rsidRPr="00EA7AEA">
        <w:rPr>
          <w:rFonts w:cs="Arial"/>
        </w:rPr>
        <w:t xml:space="preserve"> </w:t>
      </w:r>
      <w:r w:rsidR="00E20087" w:rsidRPr="00EA7AEA">
        <w:rPr>
          <w:rFonts w:cs="Arial"/>
        </w:rPr>
        <w:t xml:space="preserve"> </w:t>
      </w:r>
    </w:p>
    <w:p w:rsidR="002D6A2D" w:rsidRPr="00EA7AEA" w:rsidRDefault="002D6A2D" w:rsidP="00E20087">
      <w:pPr>
        <w:tabs>
          <w:tab w:val="num" w:pos="-180"/>
        </w:tabs>
        <w:ind w:right="-154"/>
        <w:jc w:val="both"/>
        <w:rPr>
          <w:rFonts w:cs="Arial"/>
        </w:rPr>
      </w:pPr>
    </w:p>
    <w:p w:rsidR="00E20087" w:rsidRPr="00EA7AEA" w:rsidRDefault="00E20087" w:rsidP="00E20087">
      <w:pPr>
        <w:tabs>
          <w:tab w:val="num" w:pos="-180"/>
        </w:tabs>
        <w:ind w:right="-154"/>
        <w:jc w:val="both"/>
        <w:rPr>
          <w:rFonts w:cs="Arial"/>
        </w:rPr>
      </w:pPr>
      <w:r w:rsidRPr="00EA7AEA">
        <w:rPr>
          <w:rFonts w:cs="Arial"/>
        </w:rPr>
        <w:t>Contractors have the right of appeal in some circumstances against contracting</w:t>
      </w:r>
      <w:r w:rsidR="002D6A2D" w:rsidRPr="00EA7AEA">
        <w:rPr>
          <w:rFonts w:cs="Arial"/>
        </w:rPr>
        <w:t xml:space="preserve"> </w:t>
      </w:r>
      <w:r w:rsidRPr="00EA7AEA">
        <w:rPr>
          <w:rFonts w:cs="Arial"/>
        </w:rPr>
        <w:t>/</w:t>
      </w:r>
      <w:r w:rsidR="002D6A2D" w:rsidRPr="00EA7AEA">
        <w:rPr>
          <w:rFonts w:cs="Arial"/>
        </w:rPr>
        <w:t xml:space="preserve"> </w:t>
      </w:r>
      <w:r w:rsidRPr="00EA7AEA">
        <w:rPr>
          <w:rFonts w:cs="Arial"/>
        </w:rPr>
        <w:t xml:space="preserve">commissioning decisions.  The resolution process for dealing with challenges will be in line with the national Principles and </w:t>
      </w:r>
      <w:r w:rsidR="00697E58" w:rsidRPr="00EA7AEA">
        <w:rPr>
          <w:rFonts w:cs="Arial"/>
        </w:rPr>
        <w:t>R</w:t>
      </w:r>
      <w:r w:rsidRPr="00EA7AEA">
        <w:rPr>
          <w:rFonts w:cs="Arial"/>
        </w:rPr>
        <w:t xml:space="preserve">ules for Cooperation and Competition published by the Department of Health on 30 July 2010 (Gateway reference 14611).  It will draw on best practice from the Dispute Resolution Guidance, Office of Government Commerce (March 2002).  </w:t>
      </w:r>
    </w:p>
    <w:p w:rsidR="00E20087" w:rsidRPr="00EA7AEA" w:rsidRDefault="00E20087" w:rsidP="00E20087">
      <w:pPr>
        <w:tabs>
          <w:tab w:val="num" w:pos="540"/>
        </w:tabs>
        <w:ind w:hanging="720"/>
        <w:jc w:val="both"/>
        <w:rPr>
          <w:rFonts w:cs="Arial"/>
        </w:rPr>
      </w:pPr>
    </w:p>
    <w:p w:rsidR="00E20087" w:rsidRPr="00EA7AEA" w:rsidRDefault="00E20087" w:rsidP="00E20087">
      <w:pPr>
        <w:tabs>
          <w:tab w:val="num" w:pos="540"/>
        </w:tabs>
        <w:ind w:hanging="720"/>
        <w:jc w:val="both"/>
        <w:rPr>
          <w:rFonts w:cs="Arial"/>
        </w:rPr>
      </w:pPr>
      <w:r w:rsidRPr="00EA7AEA">
        <w:rPr>
          <w:rFonts w:cs="Arial"/>
        </w:rPr>
        <w:tab/>
        <w:t xml:space="preserve">For the avoidance of doubt this Dispute Resolution Process is a non-contractual process and is intended for use in situations where the prospective parties have decided not to follow other resolution solutions that may be available to them including formal contract dispute resolution or action under statutory or legal provision available in </w:t>
      </w:r>
      <w:smartTag w:uri="urn:schemas-microsoft-com:office:smarttags" w:element="country-region">
        <w:smartTag w:uri="urn:schemas-microsoft-com:office:smarttags" w:element="place">
          <w:r w:rsidRPr="00EA7AEA">
            <w:rPr>
              <w:rFonts w:cs="Arial"/>
            </w:rPr>
            <w:t>UK</w:t>
          </w:r>
        </w:smartTag>
      </w:smartTag>
      <w:r w:rsidRPr="00EA7AEA">
        <w:rPr>
          <w:rFonts w:cs="Arial"/>
        </w:rPr>
        <w:t xml:space="preserve"> law.  </w:t>
      </w:r>
    </w:p>
    <w:p w:rsidR="00E20087" w:rsidRPr="00EA7AEA" w:rsidRDefault="00E20087" w:rsidP="00E20087">
      <w:pPr>
        <w:tabs>
          <w:tab w:val="num" w:pos="540"/>
        </w:tabs>
        <w:ind w:hanging="720"/>
        <w:jc w:val="both"/>
        <w:rPr>
          <w:rFonts w:cs="Arial"/>
        </w:rPr>
      </w:pPr>
    </w:p>
    <w:p w:rsidR="00E20087" w:rsidRPr="00EA7AEA" w:rsidRDefault="00E20087" w:rsidP="00E20087">
      <w:pPr>
        <w:tabs>
          <w:tab w:val="num" w:pos="540"/>
        </w:tabs>
        <w:jc w:val="both"/>
        <w:rPr>
          <w:rFonts w:cs="Arial"/>
        </w:rPr>
      </w:pPr>
      <w:r w:rsidRPr="00EA7AEA">
        <w:rPr>
          <w:rFonts w:cs="Arial"/>
        </w:rPr>
        <w:t>In the event that a provider or potential provider of services wishes to dispute the procurement / contracting / commissioning or related decision-making decisions by use of this Dispute Resolution Process, the following process will be followed:</w:t>
      </w:r>
    </w:p>
    <w:p w:rsidR="00E20087" w:rsidRPr="00EA7AEA" w:rsidRDefault="00E20087" w:rsidP="00E20087">
      <w:pPr>
        <w:tabs>
          <w:tab w:val="num" w:pos="540"/>
        </w:tabs>
        <w:jc w:val="both"/>
        <w:rPr>
          <w:rFonts w:cs="Arial"/>
        </w:rPr>
      </w:pPr>
    </w:p>
    <w:p w:rsidR="00E20087" w:rsidRPr="00EA7AEA" w:rsidRDefault="00E20087" w:rsidP="00264B71">
      <w:pPr>
        <w:numPr>
          <w:ilvl w:val="0"/>
          <w:numId w:val="10"/>
        </w:numPr>
        <w:tabs>
          <w:tab w:val="clear" w:pos="720"/>
          <w:tab w:val="num" w:pos="900"/>
        </w:tabs>
        <w:ind w:left="900"/>
        <w:jc w:val="both"/>
        <w:rPr>
          <w:rFonts w:cs="Arial"/>
        </w:rPr>
      </w:pPr>
      <w:r w:rsidRPr="00EA7AEA">
        <w:rPr>
          <w:rFonts w:cs="Arial"/>
        </w:rPr>
        <w:t xml:space="preserve">The </w:t>
      </w:r>
      <w:r w:rsidR="00E2105F" w:rsidRPr="00EA7AEA">
        <w:rPr>
          <w:rFonts w:cs="Arial"/>
        </w:rPr>
        <w:t>G</w:t>
      </w:r>
      <w:r w:rsidR="002D6A2D" w:rsidRPr="00EA7AEA">
        <w:rPr>
          <w:rFonts w:cs="Arial"/>
        </w:rPr>
        <w:t>CCG</w:t>
      </w:r>
      <w:r w:rsidRPr="00EA7AEA">
        <w:rPr>
          <w:rFonts w:cs="Arial"/>
        </w:rPr>
        <w:t xml:space="preserve"> will seek to resolve any disputes by local resolution.  A conciliation process will be proposed in all cases.</w:t>
      </w:r>
    </w:p>
    <w:p w:rsidR="00E20087" w:rsidRPr="00EA7AEA" w:rsidRDefault="00E20087" w:rsidP="00E20087">
      <w:pPr>
        <w:tabs>
          <w:tab w:val="num" w:pos="900"/>
        </w:tabs>
        <w:ind w:left="900" w:hanging="360"/>
        <w:jc w:val="both"/>
        <w:rPr>
          <w:rFonts w:cs="Arial"/>
        </w:rPr>
      </w:pPr>
    </w:p>
    <w:p w:rsidR="00E20087" w:rsidRPr="00EA7AEA" w:rsidRDefault="00E20087" w:rsidP="00264B71">
      <w:pPr>
        <w:numPr>
          <w:ilvl w:val="0"/>
          <w:numId w:val="10"/>
        </w:numPr>
        <w:tabs>
          <w:tab w:val="clear" w:pos="720"/>
          <w:tab w:val="num" w:pos="900"/>
        </w:tabs>
        <w:ind w:left="900"/>
        <w:jc w:val="both"/>
        <w:rPr>
          <w:rFonts w:cs="Arial"/>
        </w:rPr>
      </w:pPr>
      <w:r w:rsidRPr="00EA7AEA">
        <w:rPr>
          <w:rFonts w:cs="Arial"/>
        </w:rPr>
        <w:t xml:space="preserve">If the dispute is not successfully resolved at local level, the complainant or the </w:t>
      </w:r>
      <w:r w:rsidR="00E2105F" w:rsidRPr="00EA7AEA">
        <w:rPr>
          <w:rFonts w:cs="Arial"/>
        </w:rPr>
        <w:t>G</w:t>
      </w:r>
      <w:r w:rsidR="002D6A2D" w:rsidRPr="00EA7AEA">
        <w:rPr>
          <w:rFonts w:cs="Arial"/>
        </w:rPr>
        <w:t>C</w:t>
      </w:r>
      <w:r w:rsidR="00E2105F" w:rsidRPr="00EA7AEA">
        <w:rPr>
          <w:rFonts w:cs="Arial"/>
        </w:rPr>
        <w:t>C</w:t>
      </w:r>
      <w:r w:rsidR="002D6A2D" w:rsidRPr="00EA7AEA">
        <w:rPr>
          <w:rFonts w:cs="Arial"/>
        </w:rPr>
        <w:t>G</w:t>
      </w:r>
      <w:r w:rsidRPr="00EA7AEA">
        <w:rPr>
          <w:rFonts w:cs="Arial"/>
        </w:rPr>
        <w:t xml:space="preserve"> can refer the dispute to the Regional Panel to be operated by </w:t>
      </w:r>
      <w:r w:rsidR="002D6A2D" w:rsidRPr="00EA7AEA">
        <w:rPr>
          <w:rFonts w:cs="Arial"/>
        </w:rPr>
        <w:t>the NHS Commissioning Board.</w:t>
      </w:r>
    </w:p>
    <w:p w:rsidR="00E20087" w:rsidRPr="00EA7AEA" w:rsidRDefault="00E20087" w:rsidP="00E20087">
      <w:pPr>
        <w:tabs>
          <w:tab w:val="num" w:pos="540"/>
          <w:tab w:val="num" w:pos="900"/>
        </w:tabs>
        <w:ind w:left="900" w:hanging="360"/>
        <w:jc w:val="both"/>
        <w:rPr>
          <w:rFonts w:cs="Arial"/>
        </w:rPr>
      </w:pPr>
    </w:p>
    <w:p w:rsidR="00E20087" w:rsidRPr="00EA7AEA" w:rsidRDefault="00E20087" w:rsidP="00264B71">
      <w:pPr>
        <w:numPr>
          <w:ilvl w:val="0"/>
          <w:numId w:val="10"/>
        </w:numPr>
        <w:tabs>
          <w:tab w:val="clear" w:pos="720"/>
          <w:tab w:val="num" w:pos="900"/>
        </w:tabs>
        <w:ind w:left="900"/>
        <w:jc w:val="both"/>
        <w:rPr>
          <w:rFonts w:cs="Arial"/>
        </w:rPr>
      </w:pPr>
      <w:r w:rsidRPr="00EA7AEA">
        <w:rPr>
          <w:rFonts w:cs="Arial"/>
        </w:rPr>
        <w:t>If the dispute is not successfully resolved by the Regional Panel, it may be referred to the national Cooperation and Competition Panel.</w:t>
      </w:r>
    </w:p>
    <w:p w:rsidR="00E20087" w:rsidRPr="00EA7AEA" w:rsidRDefault="00E20087" w:rsidP="00E20087">
      <w:pPr>
        <w:tabs>
          <w:tab w:val="num" w:pos="540"/>
        </w:tabs>
        <w:ind w:hanging="720"/>
        <w:jc w:val="both"/>
        <w:rPr>
          <w:rFonts w:cs="Arial"/>
        </w:rPr>
      </w:pPr>
    </w:p>
    <w:p w:rsidR="00E20087" w:rsidRPr="00EA7AEA" w:rsidRDefault="00E20087" w:rsidP="00E20087">
      <w:pPr>
        <w:jc w:val="both"/>
        <w:rPr>
          <w:rFonts w:cs="Arial"/>
        </w:rPr>
      </w:pPr>
      <w:r w:rsidRPr="00EA7AEA">
        <w:rPr>
          <w:rFonts w:cs="Arial"/>
        </w:rPr>
        <w:t xml:space="preserve">The appellant may withdraw the appeal at any time during the process.  If for any reason an appeal is withdrawn, the </w:t>
      </w:r>
      <w:r w:rsidR="00E2105F" w:rsidRPr="00EA7AEA">
        <w:rPr>
          <w:rFonts w:cs="Arial"/>
        </w:rPr>
        <w:t>G</w:t>
      </w:r>
      <w:r w:rsidR="00765B3E" w:rsidRPr="00EA7AEA">
        <w:rPr>
          <w:rFonts w:cs="Arial"/>
        </w:rPr>
        <w:t>CCG</w:t>
      </w:r>
      <w:r w:rsidRPr="00EA7AEA">
        <w:rPr>
          <w:rFonts w:cs="Arial"/>
        </w:rPr>
        <w:t xml:space="preserve"> will not accept a future appeal on the same grounds.</w:t>
      </w:r>
    </w:p>
    <w:p w:rsidR="00E20087" w:rsidRPr="00EA7AEA" w:rsidRDefault="00E20087" w:rsidP="00E20087">
      <w:pPr>
        <w:tabs>
          <w:tab w:val="num" w:pos="540"/>
        </w:tabs>
        <w:ind w:hanging="720"/>
        <w:jc w:val="both"/>
        <w:rPr>
          <w:rFonts w:cs="Arial"/>
        </w:rPr>
      </w:pPr>
    </w:p>
    <w:p w:rsidR="00E20087" w:rsidRPr="00EA7AEA" w:rsidRDefault="00E20087" w:rsidP="00F307E3">
      <w:pPr>
        <w:tabs>
          <w:tab w:val="num" w:pos="540"/>
        </w:tabs>
        <w:ind w:left="709" w:hanging="709"/>
        <w:jc w:val="both"/>
        <w:rPr>
          <w:rFonts w:cs="Arial"/>
        </w:rPr>
      </w:pPr>
      <w:r w:rsidRPr="00EA7AEA">
        <w:rPr>
          <w:rFonts w:cs="Arial"/>
        </w:rPr>
        <w:t>2.</w:t>
      </w:r>
      <w:r w:rsidRPr="00EA7AEA">
        <w:rPr>
          <w:rFonts w:cs="Arial"/>
        </w:rPr>
        <w:tab/>
      </w:r>
      <w:r w:rsidRPr="00EA7AEA">
        <w:rPr>
          <w:rFonts w:cs="Arial"/>
          <w:u w:val="single"/>
        </w:rPr>
        <w:t>Objectives of the Dispute Resolution Process</w:t>
      </w:r>
      <w:r w:rsidR="007115F7" w:rsidRPr="00EA7AEA">
        <w:rPr>
          <w:rFonts w:cs="Arial"/>
          <w:u w:val="single"/>
        </w:rPr>
        <w:t>:</w:t>
      </w:r>
    </w:p>
    <w:p w:rsidR="00E20087" w:rsidRPr="00EA7AEA" w:rsidRDefault="00E20087" w:rsidP="00E20087">
      <w:pPr>
        <w:ind w:hanging="540"/>
        <w:jc w:val="both"/>
        <w:rPr>
          <w:rFonts w:cs="Arial"/>
        </w:rPr>
      </w:pPr>
    </w:p>
    <w:p w:rsidR="00E20087" w:rsidRPr="00EA7AEA" w:rsidRDefault="00765B3E" w:rsidP="00E20087">
      <w:pPr>
        <w:jc w:val="both"/>
        <w:rPr>
          <w:rFonts w:cs="Arial"/>
        </w:rPr>
      </w:pPr>
      <w:r w:rsidRPr="00EA7AEA">
        <w:rPr>
          <w:rFonts w:cs="Arial"/>
        </w:rPr>
        <w:t xml:space="preserve">The </w:t>
      </w:r>
      <w:r w:rsidR="00E2105F" w:rsidRPr="00EA7AEA">
        <w:rPr>
          <w:rFonts w:cs="Arial"/>
        </w:rPr>
        <w:t>G</w:t>
      </w:r>
      <w:r w:rsidRPr="00EA7AEA">
        <w:rPr>
          <w:rFonts w:cs="Arial"/>
        </w:rPr>
        <w:t>C</w:t>
      </w:r>
      <w:r w:rsidR="00E2105F" w:rsidRPr="00EA7AEA">
        <w:rPr>
          <w:rFonts w:cs="Arial"/>
        </w:rPr>
        <w:t>C</w:t>
      </w:r>
      <w:r w:rsidRPr="00EA7AEA">
        <w:rPr>
          <w:rFonts w:cs="Arial"/>
        </w:rPr>
        <w:t>G’</w:t>
      </w:r>
      <w:r w:rsidR="00E2105F" w:rsidRPr="00EA7AEA">
        <w:rPr>
          <w:rFonts w:cs="Arial"/>
        </w:rPr>
        <w:t>s</w:t>
      </w:r>
      <w:r w:rsidR="00E20087" w:rsidRPr="00EA7AEA">
        <w:rPr>
          <w:rFonts w:cs="Arial"/>
        </w:rPr>
        <w:t xml:space="preserve"> objectives of this process are as follows:</w:t>
      </w:r>
    </w:p>
    <w:p w:rsidR="00E20087" w:rsidRPr="00EA7AEA" w:rsidRDefault="00E20087" w:rsidP="00E20087">
      <w:pPr>
        <w:jc w:val="both"/>
        <w:rPr>
          <w:rFonts w:cs="Arial"/>
        </w:rPr>
      </w:pPr>
    </w:p>
    <w:p w:rsidR="00E20087" w:rsidRPr="00EA7AEA" w:rsidRDefault="00E20087" w:rsidP="00264B71">
      <w:pPr>
        <w:numPr>
          <w:ilvl w:val="0"/>
          <w:numId w:val="9"/>
        </w:numPr>
        <w:tabs>
          <w:tab w:val="clear" w:pos="720"/>
          <w:tab w:val="num" w:pos="900"/>
        </w:tabs>
        <w:ind w:left="900"/>
        <w:jc w:val="both"/>
        <w:rPr>
          <w:rFonts w:cs="Arial"/>
        </w:rPr>
      </w:pPr>
      <w:r w:rsidRPr="00EA7AEA">
        <w:rPr>
          <w:rFonts w:cs="Arial"/>
        </w:rPr>
        <w:t>To resolve competition disputes transparently, fairly and consistently and to mitigate risks and protect the reputation of the NHS.</w:t>
      </w:r>
    </w:p>
    <w:p w:rsidR="00E20087" w:rsidRPr="00EA7AEA" w:rsidRDefault="00E20087" w:rsidP="00E20087">
      <w:pPr>
        <w:tabs>
          <w:tab w:val="num" w:pos="360"/>
          <w:tab w:val="num" w:pos="900"/>
        </w:tabs>
        <w:ind w:left="900" w:hanging="360"/>
        <w:jc w:val="both"/>
        <w:rPr>
          <w:rFonts w:cs="Arial"/>
        </w:rPr>
      </w:pPr>
    </w:p>
    <w:p w:rsidR="00E20087" w:rsidRPr="00EA7AEA" w:rsidRDefault="00E20087" w:rsidP="00264B71">
      <w:pPr>
        <w:numPr>
          <w:ilvl w:val="0"/>
          <w:numId w:val="9"/>
        </w:numPr>
        <w:tabs>
          <w:tab w:val="clear" w:pos="720"/>
          <w:tab w:val="num" w:pos="900"/>
        </w:tabs>
        <w:ind w:left="900"/>
        <w:jc w:val="both"/>
        <w:rPr>
          <w:rFonts w:cs="Arial"/>
        </w:rPr>
      </w:pPr>
      <w:r w:rsidRPr="00EA7AEA">
        <w:rPr>
          <w:rFonts w:cs="Arial"/>
        </w:rPr>
        <w:t>To be compliant with acceptance criteria of the national Cooperation and Competition Panel</w:t>
      </w:r>
    </w:p>
    <w:p w:rsidR="00E20087" w:rsidRPr="00EA7AEA" w:rsidRDefault="00E20087" w:rsidP="00E20087">
      <w:pPr>
        <w:tabs>
          <w:tab w:val="num" w:pos="360"/>
          <w:tab w:val="num" w:pos="900"/>
        </w:tabs>
        <w:ind w:left="900" w:hanging="360"/>
        <w:jc w:val="both"/>
        <w:rPr>
          <w:rFonts w:cs="Arial"/>
        </w:rPr>
      </w:pPr>
    </w:p>
    <w:p w:rsidR="00E20087" w:rsidRPr="00EA7AEA" w:rsidRDefault="00E20087" w:rsidP="00264B71">
      <w:pPr>
        <w:numPr>
          <w:ilvl w:val="0"/>
          <w:numId w:val="9"/>
        </w:numPr>
        <w:tabs>
          <w:tab w:val="clear" w:pos="720"/>
          <w:tab w:val="num" w:pos="900"/>
        </w:tabs>
        <w:ind w:left="900"/>
        <w:jc w:val="both"/>
        <w:rPr>
          <w:rFonts w:cs="Arial"/>
        </w:rPr>
      </w:pPr>
      <w:r w:rsidRPr="00EA7AEA">
        <w:rPr>
          <w:rFonts w:cs="Arial"/>
        </w:rPr>
        <w:t>To prevent where possible legal challenge and external referral processes.</w:t>
      </w:r>
    </w:p>
    <w:p w:rsidR="00E20087" w:rsidRPr="00EA7AEA" w:rsidRDefault="00E20087" w:rsidP="00E20087">
      <w:pPr>
        <w:tabs>
          <w:tab w:val="num" w:pos="900"/>
        </w:tabs>
        <w:ind w:left="900" w:hanging="360"/>
        <w:jc w:val="both"/>
        <w:rPr>
          <w:rFonts w:cs="Arial"/>
        </w:rPr>
      </w:pPr>
    </w:p>
    <w:p w:rsidR="00E20087" w:rsidRPr="00EA7AEA" w:rsidRDefault="00E20087" w:rsidP="00264B71">
      <w:pPr>
        <w:numPr>
          <w:ilvl w:val="0"/>
          <w:numId w:val="9"/>
        </w:numPr>
        <w:tabs>
          <w:tab w:val="clear" w:pos="720"/>
          <w:tab w:val="num" w:pos="900"/>
        </w:tabs>
        <w:ind w:left="900"/>
        <w:jc w:val="both"/>
        <w:rPr>
          <w:rFonts w:cs="Arial"/>
        </w:rPr>
      </w:pPr>
      <w:r w:rsidRPr="00EA7AEA">
        <w:rPr>
          <w:rFonts w:cs="Arial"/>
        </w:rPr>
        <w:t>To provide confidence to parties that the process is fair and transparent, enhancing willingness to participate in the market.</w:t>
      </w:r>
    </w:p>
    <w:p w:rsidR="00E20087" w:rsidRPr="00EA7AEA" w:rsidRDefault="00E20087" w:rsidP="00E20087">
      <w:pPr>
        <w:ind w:left="720"/>
        <w:jc w:val="both"/>
        <w:rPr>
          <w:rFonts w:cs="Arial"/>
        </w:rPr>
      </w:pPr>
    </w:p>
    <w:p w:rsidR="00E20087" w:rsidRPr="00EA7AEA" w:rsidRDefault="00E20087" w:rsidP="00F307E3">
      <w:pPr>
        <w:ind w:left="709" w:hanging="709"/>
        <w:jc w:val="both"/>
        <w:rPr>
          <w:rFonts w:cs="Arial"/>
          <w:u w:val="single"/>
        </w:rPr>
      </w:pPr>
      <w:r w:rsidRPr="00EA7AEA">
        <w:rPr>
          <w:rFonts w:cs="Arial"/>
        </w:rPr>
        <w:t>3.</w:t>
      </w:r>
      <w:r w:rsidRPr="00EA7AEA">
        <w:rPr>
          <w:rFonts w:cs="Arial"/>
        </w:rPr>
        <w:tab/>
      </w:r>
      <w:r w:rsidRPr="00EA7AEA">
        <w:rPr>
          <w:rFonts w:cs="Arial"/>
          <w:u w:val="single"/>
        </w:rPr>
        <w:t>Acceptance Criteria</w:t>
      </w:r>
      <w:r w:rsidR="007115F7" w:rsidRPr="00EA7AEA">
        <w:rPr>
          <w:rFonts w:cs="Arial"/>
          <w:u w:val="single"/>
        </w:rPr>
        <w:t>:</w:t>
      </w:r>
    </w:p>
    <w:p w:rsidR="00E20087" w:rsidRPr="00EA7AEA" w:rsidRDefault="00E20087" w:rsidP="00E20087">
      <w:pPr>
        <w:rPr>
          <w:rFonts w:cs="Arial"/>
        </w:rPr>
      </w:pPr>
    </w:p>
    <w:p w:rsidR="00E20087" w:rsidRPr="00EA7AEA" w:rsidRDefault="00765B3E" w:rsidP="00E20087">
      <w:pPr>
        <w:jc w:val="both"/>
        <w:rPr>
          <w:rFonts w:cs="Arial"/>
        </w:rPr>
      </w:pPr>
      <w:r w:rsidRPr="00EA7AEA">
        <w:rPr>
          <w:rFonts w:cs="Arial"/>
        </w:rPr>
        <w:t>The CGG</w:t>
      </w:r>
      <w:r w:rsidR="00E20087" w:rsidRPr="00EA7AEA">
        <w:rPr>
          <w:rFonts w:cs="Arial"/>
        </w:rPr>
        <w:t xml:space="preserve"> will only accept appeals that meet the following criteria:</w:t>
      </w:r>
    </w:p>
    <w:p w:rsidR="00E20087" w:rsidRPr="00EA7AEA" w:rsidRDefault="00E20087" w:rsidP="00E20087">
      <w:pPr>
        <w:tabs>
          <w:tab w:val="num" w:pos="360"/>
        </w:tabs>
        <w:ind w:left="720" w:hanging="540"/>
        <w:jc w:val="both"/>
        <w:rPr>
          <w:rFonts w:cs="Arial"/>
        </w:rPr>
      </w:pPr>
    </w:p>
    <w:p w:rsidR="00E20087" w:rsidRPr="00EA7AEA" w:rsidRDefault="00E20087" w:rsidP="00264B71">
      <w:pPr>
        <w:numPr>
          <w:ilvl w:val="0"/>
          <w:numId w:val="11"/>
        </w:numPr>
        <w:tabs>
          <w:tab w:val="clear" w:pos="1440"/>
          <w:tab w:val="num" w:pos="900"/>
        </w:tabs>
        <w:ind w:left="900"/>
        <w:jc w:val="both"/>
        <w:rPr>
          <w:rFonts w:cs="Arial"/>
        </w:rPr>
      </w:pPr>
      <w:r w:rsidRPr="00EA7AEA">
        <w:rPr>
          <w:rFonts w:cs="Arial"/>
        </w:rPr>
        <w:t>The content of the dispute is covered by the Principles and Rules of Cooperation and Competition (PRCC) and no legal proceedings have commenced.</w:t>
      </w:r>
    </w:p>
    <w:p w:rsidR="00E20087" w:rsidRPr="00EA7AEA" w:rsidRDefault="00E20087" w:rsidP="00E20087">
      <w:pPr>
        <w:tabs>
          <w:tab w:val="num" w:pos="360"/>
          <w:tab w:val="num" w:pos="900"/>
        </w:tabs>
        <w:ind w:left="900" w:hanging="360"/>
        <w:jc w:val="both"/>
        <w:rPr>
          <w:rFonts w:cs="Arial"/>
        </w:rPr>
      </w:pPr>
    </w:p>
    <w:p w:rsidR="00E20087" w:rsidRPr="00EA7AEA" w:rsidRDefault="00E20087" w:rsidP="00264B71">
      <w:pPr>
        <w:numPr>
          <w:ilvl w:val="0"/>
          <w:numId w:val="11"/>
        </w:numPr>
        <w:tabs>
          <w:tab w:val="clear" w:pos="1440"/>
          <w:tab w:val="num" w:pos="900"/>
        </w:tabs>
        <w:ind w:left="900"/>
        <w:jc w:val="both"/>
        <w:rPr>
          <w:rFonts w:cs="Arial"/>
        </w:rPr>
      </w:pPr>
      <w:r w:rsidRPr="00EA7AEA">
        <w:rPr>
          <w:rFonts w:cs="Arial"/>
        </w:rPr>
        <w:t xml:space="preserve">There is complete disclosure of all relevant and applicable information.  Any individuals connected to the complaint are available to provide further evidence or testimony and the </w:t>
      </w:r>
      <w:r w:rsidR="00E2105F" w:rsidRPr="00EA7AEA">
        <w:rPr>
          <w:rFonts w:cs="Arial"/>
        </w:rPr>
        <w:t>G</w:t>
      </w:r>
      <w:r w:rsidR="00230A32" w:rsidRPr="00EA7AEA">
        <w:rPr>
          <w:rFonts w:cs="Arial"/>
        </w:rPr>
        <w:t>CCG</w:t>
      </w:r>
      <w:r w:rsidRPr="00EA7AEA">
        <w:rPr>
          <w:rFonts w:cs="Arial"/>
        </w:rPr>
        <w:t xml:space="preserve"> is not precluded from requesting more detailed information to make an informed decision.</w:t>
      </w:r>
    </w:p>
    <w:p w:rsidR="00E20087" w:rsidRPr="00EA7AEA" w:rsidRDefault="00E20087" w:rsidP="00E20087">
      <w:pPr>
        <w:tabs>
          <w:tab w:val="num" w:pos="900"/>
        </w:tabs>
        <w:ind w:left="900" w:hanging="360"/>
        <w:jc w:val="both"/>
        <w:rPr>
          <w:rFonts w:cs="Arial"/>
        </w:rPr>
      </w:pPr>
    </w:p>
    <w:p w:rsidR="00E20087" w:rsidRPr="00EA7AEA" w:rsidRDefault="00E20087" w:rsidP="00264B71">
      <w:pPr>
        <w:numPr>
          <w:ilvl w:val="0"/>
          <w:numId w:val="11"/>
        </w:numPr>
        <w:tabs>
          <w:tab w:val="clear" w:pos="1440"/>
          <w:tab w:val="num" w:pos="900"/>
        </w:tabs>
        <w:ind w:left="900"/>
        <w:jc w:val="both"/>
        <w:rPr>
          <w:rFonts w:cs="Arial"/>
        </w:rPr>
      </w:pPr>
      <w:r w:rsidRPr="00EA7AEA">
        <w:rPr>
          <w:rFonts w:cs="Arial"/>
        </w:rPr>
        <w:t>To provide confidence to parties that the process is fair and transparent, enhancing willingness to participate in the market.</w:t>
      </w:r>
    </w:p>
    <w:p w:rsidR="00E20087" w:rsidRPr="00EA7AEA" w:rsidRDefault="00E20087" w:rsidP="00E20087">
      <w:pPr>
        <w:tabs>
          <w:tab w:val="num" w:pos="360"/>
          <w:tab w:val="num" w:pos="900"/>
        </w:tabs>
        <w:ind w:left="900" w:hanging="360"/>
        <w:jc w:val="both"/>
        <w:rPr>
          <w:rFonts w:cs="Arial"/>
        </w:rPr>
      </w:pPr>
    </w:p>
    <w:p w:rsidR="00E20087" w:rsidRPr="00EA7AEA" w:rsidRDefault="00230A32" w:rsidP="00264B71">
      <w:pPr>
        <w:numPr>
          <w:ilvl w:val="0"/>
          <w:numId w:val="11"/>
        </w:numPr>
        <w:tabs>
          <w:tab w:val="clear" w:pos="1440"/>
          <w:tab w:val="num" w:pos="900"/>
        </w:tabs>
        <w:ind w:left="900"/>
        <w:jc w:val="both"/>
        <w:rPr>
          <w:rFonts w:cs="Arial"/>
        </w:rPr>
      </w:pPr>
      <w:r w:rsidRPr="00EA7AEA">
        <w:rPr>
          <w:rFonts w:cs="Arial"/>
        </w:rPr>
        <w:t xml:space="preserve">That the </w:t>
      </w:r>
      <w:r w:rsidR="00E2105F" w:rsidRPr="00EA7AEA">
        <w:rPr>
          <w:rFonts w:cs="Arial"/>
        </w:rPr>
        <w:t>GC</w:t>
      </w:r>
      <w:r w:rsidRPr="00EA7AEA">
        <w:rPr>
          <w:rFonts w:cs="Arial"/>
        </w:rPr>
        <w:t>CG</w:t>
      </w:r>
      <w:r w:rsidR="00E20087" w:rsidRPr="00EA7AEA">
        <w:rPr>
          <w:rFonts w:cs="Arial"/>
        </w:rPr>
        <w:t xml:space="preserve"> is the commissioner or lead commissioner for the service in question.</w:t>
      </w:r>
    </w:p>
    <w:p w:rsidR="00E20087" w:rsidRPr="00EA7AEA" w:rsidRDefault="00E20087" w:rsidP="00E20087">
      <w:pPr>
        <w:tabs>
          <w:tab w:val="num" w:pos="360"/>
          <w:tab w:val="num" w:pos="900"/>
        </w:tabs>
        <w:ind w:left="900" w:hanging="360"/>
        <w:jc w:val="both"/>
        <w:rPr>
          <w:rFonts w:cs="Arial"/>
        </w:rPr>
      </w:pPr>
    </w:p>
    <w:p w:rsidR="00E20087" w:rsidRPr="00EA7AEA" w:rsidRDefault="00E20087" w:rsidP="00264B71">
      <w:pPr>
        <w:numPr>
          <w:ilvl w:val="0"/>
          <w:numId w:val="11"/>
        </w:numPr>
        <w:tabs>
          <w:tab w:val="clear" w:pos="1440"/>
          <w:tab w:val="num" w:pos="900"/>
        </w:tabs>
        <w:ind w:left="900"/>
        <w:jc w:val="both"/>
        <w:rPr>
          <w:rFonts w:cs="Arial"/>
        </w:rPr>
      </w:pPr>
      <w:r w:rsidRPr="00EA7AEA">
        <w:rPr>
          <w:rFonts w:cs="Arial"/>
        </w:rPr>
        <w:t>The dispute is not trivial or vexatious</w:t>
      </w:r>
    </w:p>
    <w:p w:rsidR="00E20087" w:rsidRPr="00EA7AEA" w:rsidRDefault="00E20087" w:rsidP="00E20087">
      <w:pPr>
        <w:tabs>
          <w:tab w:val="num" w:pos="360"/>
          <w:tab w:val="num" w:pos="900"/>
        </w:tabs>
        <w:ind w:left="900" w:hanging="360"/>
        <w:jc w:val="both"/>
        <w:rPr>
          <w:rFonts w:cs="Arial"/>
        </w:rPr>
      </w:pPr>
    </w:p>
    <w:p w:rsidR="00E20087" w:rsidRPr="00EA7AEA" w:rsidRDefault="00E20087" w:rsidP="00264B71">
      <w:pPr>
        <w:numPr>
          <w:ilvl w:val="0"/>
          <w:numId w:val="11"/>
        </w:numPr>
        <w:tabs>
          <w:tab w:val="clear" w:pos="1440"/>
          <w:tab w:val="num" w:pos="900"/>
        </w:tabs>
        <w:ind w:left="900"/>
        <w:jc w:val="both"/>
        <w:rPr>
          <w:rFonts w:cs="Arial"/>
        </w:rPr>
      </w:pPr>
      <w:r w:rsidRPr="00EA7AEA">
        <w:rPr>
          <w:rFonts w:cs="Arial"/>
        </w:rPr>
        <w:t>The dispute is raised within 3 months of the disputed event occurring.</w:t>
      </w:r>
    </w:p>
    <w:p w:rsidR="00E20087" w:rsidRPr="00EA7AEA" w:rsidRDefault="00E20087" w:rsidP="00E20087">
      <w:pPr>
        <w:tabs>
          <w:tab w:val="num" w:pos="360"/>
          <w:tab w:val="num" w:pos="900"/>
        </w:tabs>
        <w:ind w:left="900" w:hanging="360"/>
        <w:jc w:val="both"/>
        <w:rPr>
          <w:rFonts w:cs="Arial"/>
        </w:rPr>
      </w:pPr>
    </w:p>
    <w:p w:rsidR="00E20087" w:rsidRPr="00EA7AEA" w:rsidRDefault="00E20087" w:rsidP="00264B71">
      <w:pPr>
        <w:numPr>
          <w:ilvl w:val="0"/>
          <w:numId w:val="11"/>
        </w:numPr>
        <w:tabs>
          <w:tab w:val="clear" w:pos="1440"/>
          <w:tab w:val="num" w:pos="900"/>
        </w:tabs>
        <w:ind w:left="900"/>
        <w:jc w:val="both"/>
        <w:rPr>
          <w:rFonts w:cs="Arial"/>
        </w:rPr>
      </w:pPr>
      <w:r w:rsidRPr="00EA7AEA">
        <w:rPr>
          <w:rFonts w:cs="Arial"/>
        </w:rPr>
        <w:t xml:space="preserve">The dispute is not a ‘reserved matter’ under the Principles and </w:t>
      </w:r>
      <w:r w:rsidR="00697E58" w:rsidRPr="00EA7AEA">
        <w:rPr>
          <w:rFonts w:cs="Arial"/>
        </w:rPr>
        <w:t>R</w:t>
      </w:r>
      <w:r w:rsidRPr="00EA7AEA">
        <w:rPr>
          <w:rFonts w:cs="Arial"/>
        </w:rPr>
        <w:t xml:space="preserve">ules of Cooperation and Competition, i.e. issues that overlap with existing legislation and the role of competition authorities.  </w:t>
      </w:r>
    </w:p>
    <w:p w:rsidR="00E20087" w:rsidRPr="00EA7AEA" w:rsidRDefault="00E20087" w:rsidP="00E20087">
      <w:pPr>
        <w:jc w:val="both"/>
        <w:rPr>
          <w:rFonts w:cs="Arial"/>
        </w:rPr>
      </w:pPr>
    </w:p>
    <w:p w:rsidR="00E20087" w:rsidRPr="00EA7AEA" w:rsidRDefault="000F5852" w:rsidP="00264B71">
      <w:pPr>
        <w:numPr>
          <w:ilvl w:val="0"/>
          <w:numId w:val="8"/>
        </w:numPr>
        <w:tabs>
          <w:tab w:val="clear" w:pos="1080"/>
          <w:tab w:val="num" w:pos="720"/>
        </w:tabs>
        <w:ind w:left="720"/>
        <w:jc w:val="both"/>
        <w:rPr>
          <w:rFonts w:cs="Arial"/>
          <w:u w:val="single"/>
        </w:rPr>
      </w:pPr>
      <w:r w:rsidRPr="00EA7AEA">
        <w:rPr>
          <w:rFonts w:cs="Arial"/>
          <w:u w:val="single"/>
        </w:rPr>
        <w:t xml:space="preserve">NHS </w:t>
      </w:r>
      <w:r w:rsidR="004E0086" w:rsidRPr="00EA7AEA">
        <w:rPr>
          <w:rFonts w:cs="Arial"/>
          <w:u w:val="single"/>
        </w:rPr>
        <w:t>G</w:t>
      </w:r>
      <w:r w:rsidRPr="00EA7AEA">
        <w:rPr>
          <w:rFonts w:cs="Arial"/>
          <w:u w:val="single"/>
        </w:rPr>
        <w:t xml:space="preserve">loucestershire </w:t>
      </w:r>
      <w:r w:rsidR="00230A32" w:rsidRPr="00EA7AEA">
        <w:rPr>
          <w:rFonts w:cs="Arial"/>
          <w:u w:val="single"/>
        </w:rPr>
        <w:t>CCG</w:t>
      </w:r>
      <w:r w:rsidR="00E20087" w:rsidRPr="00EA7AEA">
        <w:rPr>
          <w:rFonts w:cs="Arial"/>
          <w:u w:val="single"/>
        </w:rPr>
        <w:t xml:space="preserve"> Process:</w:t>
      </w:r>
    </w:p>
    <w:p w:rsidR="00E20087" w:rsidRPr="00EA7AEA" w:rsidRDefault="00E20087" w:rsidP="00E20087">
      <w:pPr>
        <w:jc w:val="both"/>
        <w:rPr>
          <w:rFonts w:cs="Arial"/>
          <w:b/>
          <w:u w:val="single"/>
        </w:rPr>
      </w:pPr>
    </w:p>
    <w:p w:rsidR="00E20087" w:rsidRPr="00EA7AEA" w:rsidRDefault="00E20087" w:rsidP="00E20087">
      <w:pPr>
        <w:ind w:left="720" w:hanging="720"/>
        <w:jc w:val="both"/>
        <w:rPr>
          <w:rFonts w:cs="Arial"/>
        </w:rPr>
      </w:pPr>
      <w:r w:rsidRPr="00EA7AEA">
        <w:rPr>
          <w:rFonts w:cs="Arial"/>
        </w:rPr>
        <w:t>Stage 1 - The Complaint:</w:t>
      </w:r>
    </w:p>
    <w:p w:rsidR="00E20087" w:rsidRPr="00EA7AEA" w:rsidRDefault="00E20087" w:rsidP="00E20087">
      <w:pPr>
        <w:ind w:left="720"/>
        <w:jc w:val="both"/>
        <w:rPr>
          <w:rFonts w:cs="Arial"/>
          <w:b/>
          <w:u w:val="single"/>
        </w:rPr>
      </w:pPr>
    </w:p>
    <w:p w:rsidR="00E20087" w:rsidRPr="00EA7AEA" w:rsidRDefault="00E20087" w:rsidP="00E20087">
      <w:pPr>
        <w:jc w:val="both"/>
        <w:rPr>
          <w:rFonts w:cs="Arial"/>
        </w:rPr>
      </w:pPr>
      <w:r w:rsidRPr="00EA7AEA">
        <w:rPr>
          <w:rFonts w:cs="Arial"/>
        </w:rPr>
        <w:t xml:space="preserve">The </w:t>
      </w:r>
      <w:r w:rsidR="00E2105F" w:rsidRPr="00EA7AEA">
        <w:rPr>
          <w:rFonts w:cs="Arial"/>
        </w:rPr>
        <w:t>G</w:t>
      </w:r>
      <w:r w:rsidR="00230A32" w:rsidRPr="00EA7AEA">
        <w:rPr>
          <w:rFonts w:cs="Arial"/>
        </w:rPr>
        <w:t>CCG</w:t>
      </w:r>
      <w:r w:rsidRPr="00EA7AEA">
        <w:rPr>
          <w:rFonts w:cs="Arial"/>
        </w:rPr>
        <w:t xml:space="preserve"> will acknowledge the appeal within two working</w:t>
      </w:r>
      <w:r w:rsidR="00230A32" w:rsidRPr="00EA7AEA">
        <w:rPr>
          <w:rFonts w:cs="Arial"/>
        </w:rPr>
        <w:t xml:space="preserve"> (</w:t>
      </w:r>
      <w:r w:rsidRPr="00EA7AEA">
        <w:rPr>
          <w:rFonts w:cs="Arial"/>
        </w:rPr>
        <w:t>business</w:t>
      </w:r>
      <w:r w:rsidR="00230A32" w:rsidRPr="00EA7AEA">
        <w:rPr>
          <w:rFonts w:cs="Arial"/>
        </w:rPr>
        <w:t>)</w:t>
      </w:r>
      <w:r w:rsidRPr="00EA7AEA">
        <w:rPr>
          <w:rFonts w:cs="Arial"/>
        </w:rPr>
        <w:t xml:space="preserve"> days of receipt.</w:t>
      </w:r>
    </w:p>
    <w:p w:rsidR="00E20087" w:rsidRPr="00EA7AEA" w:rsidRDefault="00E20087" w:rsidP="00E20087">
      <w:pPr>
        <w:ind w:left="720"/>
        <w:jc w:val="both"/>
        <w:rPr>
          <w:rFonts w:cs="Arial"/>
        </w:rPr>
      </w:pPr>
    </w:p>
    <w:p w:rsidR="00E20087" w:rsidRPr="00EA7AEA" w:rsidRDefault="00E20087" w:rsidP="00E20087">
      <w:pPr>
        <w:jc w:val="both"/>
        <w:rPr>
          <w:rFonts w:cs="Arial"/>
        </w:rPr>
      </w:pPr>
      <w:r w:rsidRPr="00EA7AEA">
        <w:rPr>
          <w:rFonts w:cs="Arial"/>
        </w:rPr>
        <w:t xml:space="preserve">The first stage is to gather information (see attached form – Appendix </w:t>
      </w:r>
      <w:r w:rsidR="007A32BA" w:rsidRPr="00EA7AEA">
        <w:rPr>
          <w:rFonts w:cs="Arial"/>
        </w:rPr>
        <w:t>2</w:t>
      </w:r>
      <w:r w:rsidRPr="00EA7AEA">
        <w:rPr>
          <w:rFonts w:cs="Arial"/>
        </w:rPr>
        <w:t>) and complete an initial assessment.  A nominated officer will be appointed to carry out the assessment.</w:t>
      </w:r>
    </w:p>
    <w:p w:rsidR="00E20087" w:rsidRPr="00EA7AEA" w:rsidRDefault="00E20087" w:rsidP="00E20087">
      <w:pPr>
        <w:ind w:left="720"/>
        <w:jc w:val="both"/>
        <w:rPr>
          <w:rFonts w:cs="Arial"/>
        </w:rPr>
      </w:pPr>
    </w:p>
    <w:p w:rsidR="00E20087" w:rsidRPr="00EA7AEA" w:rsidRDefault="00E20087" w:rsidP="00E20087">
      <w:pPr>
        <w:jc w:val="both"/>
        <w:rPr>
          <w:rFonts w:cs="Arial"/>
        </w:rPr>
      </w:pPr>
      <w:r w:rsidRPr="00EA7AEA">
        <w:rPr>
          <w:rFonts w:cs="Arial"/>
        </w:rPr>
        <w:t xml:space="preserve">Following the initial assessment, the </w:t>
      </w:r>
      <w:r w:rsidR="00E2105F" w:rsidRPr="00EA7AEA">
        <w:rPr>
          <w:rFonts w:cs="Arial"/>
        </w:rPr>
        <w:t>G</w:t>
      </w:r>
      <w:r w:rsidR="00230A32" w:rsidRPr="00EA7AEA">
        <w:rPr>
          <w:rFonts w:cs="Arial"/>
        </w:rPr>
        <w:t>CCG</w:t>
      </w:r>
      <w:r w:rsidRPr="00EA7AEA">
        <w:rPr>
          <w:rFonts w:cs="Arial"/>
        </w:rPr>
        <w:t xml:space="preserve"> may instigate an informal investigation to add further detail.  This stage is to be completed within 14 days.  Following this assessment there will be an opportunity for conciliation between the parties.  A timescale will be set and notified to each party.</w:t>
      </w:r>
    </w:p>
    <w:p w:rsidR="00E20087" w:rsidRPr="00EA7AEA" w:rsidRDefault="00E20087" w:rsidP="00E20087">
      <w:pPr>
        <w:ind w:left="720"/>
        <w:jc w:val="both"/>
        <w:rPr>
          <w:rFonts w:cs="Arial"/>
        </w:rPr>
      </w:pPr>
    </w:p>
    <w:p w:rsidR="00E20087" w:rsidRPr="00EA7AEA" w:rsidRDefault="00E20087" w:rsidP="00E20087">
      <w:pPr>
        <w:jc w:val="both"/>
        <w:rPr>
          <w:rFonts w:cs="Arial"/>
        </w:rPr>
      </w:pPr>
      <w:r w:rsidRPr="00EA7AEA">
        <w:rPr>
          <w:rFonts w:cs="Arial"/>
        </w:rPr>
        <w:t xml:space="preserve">If the criteria for dispute are met and conciliation has not resolved the issue, the nominated officer will complete a report for the </w:t>
      </w:r>
      <w:r w:rsidR="00E2105F" w:rsidRPr="00EA7AEA">
        <w:rPr>
          <w:rFonts w:cs="Arial"/>
        </w:rPr>
        <w:t>G</w:t>
      </w:r>
      <w:r w:rsidR="00230A32" w:rsidRPr="00EA7AEA">
        <w:rPr>
          <w:rFonts w:cs="Arial"/>
        </w:rPr>
        <w:t>CCG</w:t>
      </w:r>
      <w:r w:rsidRPr="00EA7AEA">
        <w:rPr>
          <w:rFonts w:cs="Arial"/>
        </w:rPr>
        <w:t xml:space="preserve"> Panel.</w:t>
      </w:r>
    </w:p>
    <w:p w:rsidR="00E20087" w:rsidRPr="00EA7AEA" w:rsidRDefault="00E20087" w:rsidP="00E20087">
      <w:pPr>
        <w:ind w:left="720"/>
        <w:jc w:val="both"/>
        <w:rPr>
          <w:rFonts w:cs="Arial"/>
        </w:rPr>
      </w:pPr>
    </w:p>
    <w:p w:rsidR="00E20087" w:rsidRPr="00EA7AEA" w:rsidRDefault="00E20087" w:rsidP="00E20087">
      <w:pPr>
        <w:ind w:left="720" w:hanging="720"/>
        <w:jc w:val="both"/>
        <w:rPr>
          <w:rFonts w:cs="Arial"/>
        </w:rPr>
      </w:pPr>
      <w:r w:rsidRPr="00EA7AEA">
        <w:rPr>
          <w:rFonts w:cs="Arial"/>
        </w:rPr>
        <w:t xml:space="preserve">Stage 2 - </w:t>
      </w:r>
      <w:r w:rsidR="004E0086" w:rsidRPr="00EA7AEA">
        <w:rPr>
          <w:rFonts w:cs="Arial"/>
        </w:rPr>
        <w:t>GC</w:t>
      </w:r>
      <w:r w:rsidR="00B60B65" w:rsidRPr="00EA7AEA">
        <w:rPr>
          <w:rFonts w:cs="Arial"/>
        </w:rPr>
        <w:t>CG</w:t>
      </w:r>
      <w:r w:rsidRPr="00EA7AEA">
        <w:rPr>
          <w:rFonts w:cs="Arial"/>
        </w:rPr>
        <w:t xml:space="preserve"> Panel:</w:t>
      </w:r>
    </w:p>
    <w:p w:rsidR="00E20087" w:rsidRPr="00EA7AEA" w:rsidRDefault="00E20087" w:rsidP="00E20087">
      <w:pPr>
        <w:ind w:left="720"/>
        <w:jc w:val="both"/>
        <w:rPr>
          <w:rFonts w:cs="Arial"/>
          <w:b/>
          <w:u w:val="single"/>
        </w:rPr>
      </w:pPr>
    </w:p>
    <w:p w:rsidR="00E20087" w:rsidRPr="00EA7AEA" w:rsidRDefault="00E20087" w:rsidP="00E20087">
      <w:pPr>
        <w:jc w:val="both"/>
        <w:rPr>
          <w:rFonts w:cs="Arial"/>
        </w:rPr>
      </w:pPr>
      <w:r w:rsidRPr="00EA7AEA">
        <w:rPr>
          <w:rFonts w:cs="Arial"/>
        </w:rPr>
        <w:t>Membership – the Panel has three core members:</w:t>
      </w:r>
    </w:p>
    <w:p w:rsidR="00E20087" w:rsidRPr="00EA7AEA" w:rsidRDefault="00E20087" w:rsidP="00E20087">
      <w:pPr>
        <w:ind w:left="720"/>
        <w:jc w:val="both"/>
        <w:rPr>
          <w:rFonts w:cs="Arial"/>
        </w:rPr>
      </w:pPr>
    </w:p>
    <w:p w:rsidR="00E20087" w:rsidRPr="00EA7AEA" w:rsidRDefault="00E20087" w:rsidP="00264B71">
      <w:pPr>
        <w:numPr>
          <w:ilvl w:val="0"/>
          <w:numId w:val="12"/>
        </w:numPr>
        <w:tabs>
          <w:tab w:val="clear" w:pos="1440"/>
          <w:tab w:val="num" w:pos="900"/>
        </w:tabs>
        <w:ind w:left="900"/>
        <w:jc w:val="both"/>
        <w:rPr>
          <w:rFonts w:cs="Arial"/>
        </w:rPr>
      </w:pPr>
      <w:r w:rsidRPr="00EA7AEA">
        <w:rPr>
          <w:rFonts w:cs="Arial"/>
        </w:rPr>
        <w:t>Non-Executive Member (Chair)</w:t>
      </w:r>
    </w:p>
    <w:p w:rsidR="00E20087" w:rsidRPr="00EA7AEA" w:rsidRDefault="00E20087" w:rsidP="00264B71">
      <w:pPr>
        <w:numPr>
          <w:ilvl w:val="0"/>
          <w:numId w:val="12"/>
        </w:numPr>
        <w:tabs>
          <w:tab w:val="clear" w:pos="1440"/>
          <w:tab w:val="num" w:pos="900"/>
        </w:tabs>
        <w:ind w:left="900"/>
        <w:jc w:val="both"/>
        <w:rPr>
          <w:rFonts w:cs="Arial"/>
        </w:rPr>
      </w:pPr>
      <w:r w:rsidRPr="00EA7AEA">
        <w:rPr>
          <w:rFonts w:cs="Arial"/>
        </w:rPr>
        <w:t xml:space="preserve">Executive Director </w:t>
      </w:r>
    </w:p>
    <w:p w:rsidR="00E20087" w:rsidRPr="00EA7AEA" w:rsidRDefault="00E20087" w:rsidP="00264B71">
      <w:pPr>
        <w:numPr>
          <w:ilvl w:val="0"/>
          <w:numId w:val="12"/>
        </w:numPr>
        <w:tabs>
          <w:tab w:val="clear" w:pos="1440"/>
          <w:tab w:val="num" w:pos="900"/>
        </w:tabs>
        <w:ind w:left="900"/>
        <w:jc w:val="both"/>
        <w:rPr>
          <w:rFonts w:cs="Arial"/>
        </w:rPr>
      </w:pPr>
      <w:r w:rsidRPr="00EA7AEA">
        <w:rPr>
          <w:rFonts w:cs="Arial"/>
        </w:rPr>
        <w:lastRenderedPageBreak/>
        <w:t>Head of Procurement</w:t>
      </w:r>
    </w:p>
    <w:p w:rsidR="00533E75" w:rsidRPr="00EA7AEA" w:rsidRDefault="00533E75" w:rsidP="00533E75">
      <w:pPr>
        <w:ind w:left="900"/>
        <w:jc w:val="both"/>
        <w:rPr>
          <w:rFonts w:cs="Arial"/>
        </w:rPr>
      </w:pPr>
    </w:p>
    <w:p w:rsidR="00E20087" w:rsidRPr="00EA7AEA" w:rsidRDefault="00E20087" w:rsidP="00E20087">
      <w:pPr>
        <w:jc w:val="both"/>
        <w:rPr>
          <w:rFonts w:cs="Arial"/>
        </w:rPr>
      </w:pPr>
      <w:r w:rsidRPr="00EA7AEA">
        <w:rPr>
          <w:rFonts w:cs="Arial"/>
        </w:rPr>
        <w:t>The nominated officer will attend to present their investigation.</w:t>
      </w:r>
    </w:p>
    <w:p w:rsidR="00E20087" w:rsidRPr="00EA7AEA" w:rsidRDefault="00E20087" w:rsidP="00E20087">
      <w:pPr>
        <w:ind w:left="720"/>
        <w:jc w:val="both"/>
        <w:rPr>
          <w:rFonts w:cs="Arial"/>
        </w:rPr>
      </w:pPr>
    </w:p>
    <w:p w:rsidR="00E20087" w:rsidRPr="00EA7AEA" w:rsidRDefault="00E20087" w:rsidP="00E20087">
      <w:pPr>
        <w:jc w:val="both"/>
        <w:rPr>
          <w:rFonts w:cs="Arial"/>
        </w:rPr>
      </w:pPr>
      <w:r w:rsidRPr="00EA7AEA">
        <w:rPr>
          <w:rFonts w:cs="Arial"/>
        </w:rPr>
        <w:t xml:space="preserve">The Panel will formally meet and review the case.  This stage </w:t>
      </w:r>
      <w:r w:rsidR="00533E75" w:rsidRPr="00EA7AEA">
        <w:rPr>
          <w:rFonts w:cs="Arial"/>
        </w:rPr>
        <w:t xml:space="preserve">is </w:t>
      </w:r>
      <w:r w:rsidRPr="00EA7AEA">
        <w:rPr>
          <w:rFonts w:cs="Arial"/>
        </w:rPr>
        <w:t>to be completed within 2</w:t>
      </w:r>
      <w:r w:rsidR="00965AA6" w:rsidRPr="00EA7AEA">
        <w:rPr>
          <w:rFonts w:cs="Arial"/>
        </w:rPr>
        <w:t>0</w:t>
      </w:r>
      <w:r w:rsidR="00533E75" w:rsidRPr="00EA7AEA">
        <w:rPr>
          <w:rFonts w:cs="Arial"/>
        </w:rPr>
        <w:t xml:space="preserve"> </w:t>
      </w:r>
      <w:r w:rsidR="00965AA6" w:rsidRPr="00EA7AEA">
        <w:rPr>
          <w:rFonts w:cs="Arial"/>
        </w:rPr>
        <w:t>working</w:t>
      </w:r>
      <w:r w:rsidR="00533E75" w:rsidRPr="00EA7AEA">
        <w:rPr>
          <w:rFonts w:cs="Arial"/>
        </w:rPr>
        <w:t xml:space="preserve"> days. </w:t>
      </w:r>
      <w:r w:rsidRPr="00EA7AEA">
        <w:rPr>
          <w:rFonts w:cs="Arial"/>
        </w:rPr>
        <w:t>Both parties will have had the opportunity to submit written material in advance of the hearing.  Both parties may be offered the opportunity to attend the Panel.</w:t>
      </w:r>
    </w:p>
    <w:p w:rsidR="00E20087" w:rsidRPr="00EA7AEA" w:rsidRDefault="00E20087" w:rsidP="00E20087">
      <w:pPr>
        <w:ind w:left="720"/>
        <w:jc w:val="both"/>
        <w:rPr>
          <w:rFonts w:cs="Arial"/>
        </w:rPr>
      </w:pPr>
    </w:p>
    <w:p w:rsidR="00E20087" w:rsidRPr="00EA7AEA" w:rsidRDefault="00E20087" w:rsidP="00E20087">
      <w:pPr>
        <w:ind w:left="720" w:right="386" w:hanging="720"/>
        <w:jc w:val="both"/>
        <w:rPr>
          <w:rFonts w:cs="Arial"/>
        </w:rPr>
      </w:pPr>
      <w:r w:rsidRPr="00EA7AEA">
        <w:rPr>
          <w:rFonts w:cs="Arial"/>
        </w:rPr>
        <w:t>Stage 3: The Decision</w:t>
      </w:r>
      <w:r w:rsidR="007115F7" w:rsidRPr="00EA7AEA">
        <w:rPr>
          <w:rFonts w:cs="Arial"/>
        </w:rPr>
        <w:t>:</w:t>
      </w:r>
    </w:p>
    <w:p w:rsidR="00E20087" w:rsidRPr="00EA7AEA" w:rsidRDefault="00E20087" w:rsidP="00E20087">
      <w:pPr>
        <w:ind w:left="720"/>
        <w:jc w:val="both"/>
        <w:rPr>
          <w:rFonts w:cs="Arial"/>
          <w:b/>
          <w:u w:val="single"/>
        </w:rPr>
      </w:pPr>
    </w:p>
    <w:p w:rsidR="00E20087" w:rsidRPr="00EA7AEA" w:rsidRDefault="00E20087" w:rsidP="00E20087">
      <w:pPr>
        <w:jc w:val="both"/>
        <w:rPr>
          <w:rFonts w:cs="Arial"/>
        </w:rPr>
      </w:pPr>
      <w:r w:rsidRPr="00EA7AEA">
        <w:rPr>
          <w:rFonts w:cs="Arial"/>
        </w:rPr>
        <w:t xml:space="preserve">The </w:t>
      </w:r>
      <w:r w:rsidR="00E2105F" w:rsidRPr="00EA7AEA">
        <w:rPr>
          <w:rFonts w:cs="Arial"/>
        </w:rPr>
        <w:t>G</w:t>
      </w:r>
      <w:r w:rsidR="00533E75" w:rsidRPr="00EA7AEA">
        <w:rPr>
          <w:rFonts w:cs="Arial"/>
        </w:rPr>
        <w:t>CCG</w:t>
      </w:r>
      <w:r w:rsidRPr="00EA7AEA">
        <w:rPr>
          <w:rFonts w:cs="Arial"/>
        </w:rPr>
        <w:t xml:space="preserve"> Panel has 4 potential outcomes:</w:t>
      </w:r>
    </w:p>
    <w:p w:rsidR="00E20087" w:rsidRPr="00EA7AEA" w:rsidRDefault="00E20087" w:rsidP="00E20087">
      <w:pPr>
        <w:ind w:left="720"/>
        <w:jc w:val="both"/>
        <w:rPr>
          <w:rFonts w:cs="Arial"/>
        </w:rPr>
      </w:pPr>
    </w:p>
    <w:p w:rsidR="00E20087" w:rsidRPr="00EA7AEA" w:rsidRDefault="00E20087" w:rsidP="00D85921">
      <w:pPr>
        <w:pStyle w:val="ListParagraph"/>
        <w:numPr>
          <w:ilvl w:val="0"/>
          <w:numId w:val="70"/>
        </w:numPr>
        <w:tabs>
          <w:tab w:val="num" w:pos="851"/>
        </w:tabs>
        <w:jc w:val="both"/>
        <w:rPr>
          <w:rFonts w:cs="Arial"/>
        </w:rPr>
      </w:pPr>
      <w:r w:rsidRPr="00EA7AEA">
        <w:rPr>
          <w:rFonts w:cs="Arial"/>
        </w:rPr>
        <w:t>Complaint upheld</w:t>
      </w:r>
    </w:p>
    <w:p w:rsidR="00E20087" w:rsidRPr="00EA7AEA" w:rsidRDefault="00E20087" w:rsidP="00D85921">
      <w:pPr>
        <w:pStyle w:val="ListParagraph"/>
        <w:numPr>
          <w:ilvl w:val="0"/>
          <w:numId w:val="70"/>
        </w:numPr>
        <w:tabs>
          <w:tab w:val="num" w:pos="900"/>
        </w:tabs>
        <w:jc w:val="both"/>
        <w:rPr>
          <w:rFonts w:cs="Arial"/>
        </w:rPr>
      </w:pPr>
      <w:r w:rsidRPr="00EA7AEA">
        <w:rPr>
          <w:rFonts w:cs="Arial"/>
        </w:rPr>
        <w:t xml:space="preserve">Further investigation needed – to be completed within a maximum 20 </w:t>
      </w:r>
      <w:r w:rsidR="00965AA6" w:rsidRPr="00EA7AEA">
        <w:rPr>
          <w:rFonts w:cs="Arial"/>
        </w:rPr>
        <w:t xml:space="preserve">working </w:t>
      </w:r>
      <w:r w:rsidR="001456A7" w:rsidRPr="00EA7AEA">
        <w:rPr>
          <w:rFonts w:cs="Arial"/>
        </w:rPr>
        <w:t xml:space="preserve"> </w:t>
      </w:r>
      <w:r w:rsidRPr="00EA7AEA">
        <w:rPr>
          <w:rFonts w:cs="Arial"/>
        </w:rPr>
        <w:t>days</w:t>
      </w:r>
    </w:p>
    <w:p w:rsidR="00E20087" w:rsidRPr="00EA7AEA" w:rsidRDefault="00E20087" w:rsidP="00D85921">
      <w:pPr>
        <w:pStyle w:val="ListParagraph"/>
        <w:numPr>
          <w:ilvl w:val="0"/>
          <w:numId w:val="70"/>
        </w:numPr>
        <w:tabs>
          <w:tab w:val="num" w:pos="900"/>
        </w:tabs>
        <w:jc w:val="both"/>
        <w:rPr>
          <w:rFonts w:cs="Arial"/>
        </w:rPr>
      </w:pPr>
      <w:r w:rsidRPr="00EA7AEA">
        <w:rPr>
          <w:rFonts w:cs="Arial"/>
        </w:rPr>
        <w:t>Complaint rejected</w:t>
      </w:r>
    </w:p>
    <w:p w:rsidR="00E20087" w:rsidRPr="00EA7AEA" w:rsidRDefault="00E20087" w:rsidP="00D85921">
      <w:pPr>
        <w:pStyle w:val="ListParagraph"/>
        <w:numPr>
          <w:ilvl w:val="0"/>
          <w:numId w:val="70"/>
        </w:numPr>
        <w:tabs>
          <w:tab w:val="num" w:pos="900"/>
        </w:tabs>
        <w:jc w:val="both"/>
        <w:rPr>
          <w:rFonts w:cs="Arial"/>
        </w:rPr>
      </w:pPr>
      <w:r w:rsidRPr="00EA7AEA">
        <w:rPr>
          <w:rFonts w:cs="Arial"/>
        </w:rPr>
        <w:t xml:space="preserve">Complaint judged to be beyond the scope of the Panel so will be referred to </w:t>
      </w:r>
      <w:r w:rsidR="00533E75" w:rsidRPr="00EA7AEA">
        <w:rPr>
          <w:rFonts w:cs="Arial"/>
        </w:rPr>
        <w:t xml:space="preserve">NHSCB </w:t>
      </w:r>
      <w:r w:rsidRPr="00EA7AEA">
        <w:rPr>
          <w:rFonts w:cs="Arial"/>
        </w:rPr>
        <w:t>Regional Panel or to the National Co-Operation and Competition Panel.</w:t>
      </w:r>
    </w:p>
    <w:p w:rsidR="00E20087" w:rsidRPr="00EA7AEA" w:rsidRDefault="00E20087" w:rsidP="00E20087">
      <w:pPr>
        <w:jc w:val="both"/>
        <w:rPr>
          <w:rFonts w:cs="Arial"/>
          <w:b/>
        </w:rPr>
      </w:pPr>
    </w:p>
    <w:p w:rsidR="00E20087" w:rsidRPr="00EA7AEA" w:rsidRDefault="00E20087" w:rsidP="00E20087">
      <w:pPr>
        <w:jc w:val="both"/>
        <w:rPr>
          <w:rFonts w:cs="Arial"/>
        </w:rPr>
      </w:pPr>
      <w:r w:rsidRPr="00EA7AEA">
        <w:rPr>
          <w:rFonts w:cs="Arial"/>
        </w:rPr>
        <w:t xml:space="preserve">The </w:t>
      </w:r>
      <w:r w:rsidR="00E2105F" w:rsidRPr="00EA7AEA">
        <w:rPr>
          <w:rFonts w:cs="Arial"/>
        </w:rPr>
        <w:t>G</w:t>
      </w:r>
      <w:r w:rsidR="00533E75" w:rsidRPr="00EA7AEA">
        <w:rPr>
          <w:rFonts w:cs="Arial"/>
        </w:rPr>
        <w:t>CCG</w:t>
      </w:r>
      <w:r w:rsidRPr="00EA7AEA">
        <w:rPr>
          <w:rFonts w:cs="Arial"/>
        </w:rPr>
        <w:t xml:space="preserve"> will write to the complainant(s) notifying them of its decision, explaining the rationale and any course of action required.</w:t>
      </w:r>
    </w:p>
    <w:p w:rsidR="00E20087" w:rsidRPr="00EA7AEA" w:rsidRDefault="00E20087" w:rsidP="00E20087">
      <w:pPr>
        <w:ind w:left="720"/>
        <w:jc w:val="both"/>
        <w:rPr>
          <w:rFonts w:cs="Arial"/>
        </w:rPr>
      </w:pPr>
    </w:p>
    <w:p w:rsidR="00E20087" w:rsidRPr="00EA7AEA" w:rsidRDefault="00E20087" w:rsidP="00E20087">
      <w:pPr>
        <w:jc w:val="both"/>
        <w:rPr>
          <w:rFonts w:cs="Arial"/>
        </w:rPr>
      </w:pPr>
      <w:r w:rsidRPr="00EA7AEA">
        <w:rPr>
          <w:rFonts w:cs="Arial"/>
        </w:rPr>
        <w:t xml:space="preserve">If the complainant does not believe the case has been satisfactorily resolved an appeal can be lodged with the Regional Panel operated by the </w:t>
      </w:r>
      <w:r w:rsidR="00533E75" w:rsidRPr="00EA7AEA">
        <w:rPr>
          <w:rFonts w:cs="Arial"/>
        </w:rPr>
        <w:t>NHSCB</w:t>
      </w:r>
      <w:r w:rsidRPr="00EA7AEA">
        <w:rPr>
          <w:rFonts w:cs="Arial"/>
        </w:rPr>
        <w:t>.</w:t>
      </w:r>
    </w:p>
    <w:p w:rsidR="00E20087" w:rsidRPr="00EA7AEA" w:rsidRDefault="00E20087" w:rsidP="00E20087">
      <w:pPr>
        <w:ind w:left="720"/>
        <w:jc w:val="both"/>
        <w:rPr>
          <w:rFonts w:cs="Arial"/>
        </w:rPr>
      </w:pPr>
    </w:p>
    <w:p w:rsidR="00E20087" w:rsidRPr="00EA7AEA" w:rsidRDefault="00E20087" w:rsidP="00E20087">
      <w:pPr>
        <w:jc w:val="both"/>
        <w:rPr>
          <w:rFonts w:cs="Arial"/>
        </w:rPr>
      </w:pPr>
      <w:r w:rsidRPr="00EA7AEA">
        <w:rPr>
          <w:rFonts w:cs="Arial"/>
        </w:rPr>
        <w:t xml:space="preserve">All results of the process will be presented to the </w:t>
      </w:r>
      <w:r w:rsidR="00E2105F" w:rsidRPr="00EA7AEA">
        <w:rPr>
          <w:rFonts w:cs="Arial"/>
        </w:rPr>
        <w:t>G</w:t>
      </w:r>
      <w:r w:rsidR="00533E75" w:rsidRPr="00EA7AEA">
        <w:rPr>
          <w:rFonts w:cs="Arial"/>
        </w:rPr>
        <w:t>CCG</w:t>
      </w:r>
      <w:r w:rsidRPr="00EA7AEA">
        <w:rPr>
          <w:rFonts w:cs="Arial"/>
        </w:rPr>
        <w:t xml:space="preserve"> Board on an annual basis for information.  Reports will include summaries of complaints and outcomes, as well as performance against target timescales.</w:t>
      </w:r>
    </w:p>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p w:rsidR="00166230" w:rsidRPr="00EA7AEA" w:rsidRDefault="00166230" w:rsidP="00E20087">
      <w:pPr>
        <w:jc w:val="right"/>
        <w:rPr>
          <w:rFonts w:cs="Arial"/>
          <w:b/>
          <w:sz w:val="28"/>
          <w:szCs w:val="28"/>
        </w:rPr>
      </w:pPr>
    </w:p>
    <w:p w:rsidR="00166230" w:rsidRPr="00EA7AEA" w:rsidRDefault="00166230" w:rsidP="00E20087">
      <w:pPr>
        <w:jc w:val="right"/>
        <w:rPr>
          <w:rFonts w:cs="Arial"/>
          <w:b/>
          <w:sz w:val="28"/>
          <w:szCs w:val="28"/>
        </w:rPr>
      </w:pPr>
    </w:p>
    <w:p w:rsidR="00166230" w:rsidRPr="00EA7AEA" w:rsidRDefault="00166230" w:rsidP="00E20087">
      <w:pPr>
        <w:jc w:val="right"/>
        <w:rPr>
          <w:rFonts w:cs="Arial"/>
          <w:b/>
          <w:sz w:val="28"/>
          <w:szCs w:val="28"/>
        </w:rPr>
      </w:pPr>
    </w:p>
    <w:p w:rsidR="00D85921" w:rsidRPr="00EA7AEA" w:rsidRDefault="00D85921" w:rsidP="00E20087">
      <w:pPr>
        <w:jc w:val="right"/>
        <w:rPr>
          <w:rFonts w:cs="Arial"/>
          <w:b/>
          <w:sz w:val="28"/>
          <w:szCs w:val="28"/>
        </w:rPr>
      </w:pPr>
    </w:p>
    <w:p w:rsidR="00FF6F26" w:rsidRPr="00EA7AEA" w:rsidRDefault="00FF6F26" w:rsidP="00E20087">
      <w:pPr>
        <w:jc w:val="right"/>
        <w:rPr>
          <w:rFonts w:cs="Arial"/>
          <w:b/>
          <w:sz w:val="28"/>
          <w:szCs w:val="28"/>
        </w:rPr>
      </w:pPr>
    </w:p>
    <w:p w:rsidR="00FF6F26" w:rsidRPr="00EA7AEA" w:rsidRDefault="00FF6F26" w:rsidP="00E20087">
      <w:pPr>
        <w:jc w:val="right"/>
        <w:rPr>
          <w:rFonts w:cs="Arial"/>
          <w:b/>
          <w:sz w:val="28"/>
          <w:szCs w:val="28"/>
        </w:rPr>
      </w:pPr>
    </w:p>
    <w:p w:rsidR="001B7EA6" w:rsidRPr="00EA7AEA" w:rsidRDefault="001B7EA6" w:rsidP="00E20087">
      <w:pPr>
        <w:jc w:val="right"/>
        <w:rPr>
          <w:rFonts w:cs="Arial"/>
          <w:b/>
          <w:sz w:val="28"/>
          <w:szCs w:val="28"/>
        </w:rPr>
      </w:pPr>
      <w:r w:rsidRPr="00EA7AEA">
        <w:rPr>
          <w:rFonts w:cs="Arial"/>
          <w:b/>
          <w:sz w:val="28"/>
          <w:szCs w:val="28"/>
        </w:rPr>
        <w:lastRenderedPageBreak/>
        <w:t>Appendix 1</w:t>
      </w:r>
    </w:p>
    <w:p w:rsidR="001B7EA6" w:rsidRPr="00EA7AEA" w:rsidRDefault="00401C12" w:rsidP="005C22B7">
      <w:pPr>
        <w:jc w:val="center"/>
        <w:rPr>
          <w:rFonts w:cs="Arial"/>
          <w:b/>
          <w:sz w:val="28"/>
          <w:szCs w:val="28"/>
        </w:rPr>
      </w:pPr>
      <w:r w:rsidRPr="00EA7AEA">
        <w:rPr>
          <w:rFonts w:cs="Arial"/>
          <w:b/>
          <w:sz w:val="28"/>
          <w:szCs w:val="28"/>
        </w:rPr>
        <w:t>Decision Not to Tender</w:t>
      </w:r>
    </w:p>
    <w:p w:rsidR="00401C12" w:rsidRPr="00EA7AEA" w:rsidRDefault="00401C12" w:rsidP="00401C12">
      <w:pPr>
        <w:rPr>
          <w:rFonts w:cs="Arial"/>
        </w:rPr>
      </w:pPr>
    </w:p>
    <w:p w:rsidR="00965AA6" w:rsidRPr="00EA7AEA" w:rsidRDefault="00965AA6" w:rsidP="00401C12">
      <w:pPr>
        <w:rPr>
          <w:rFonts w:cs="Arial"/>
        </w:rPr>
      </w:pPr>
    </w:p>
    <w:tbl>
      <w:tblPr>
        <w:tblStyle w:val="TableGrid"/>
        <w:tblW w:w="0" w:type="auto"/>
        <w:tblLook w:val="04A0" w:firstRow="1" w:lastRow="0" w:firstColumn="1" w:lastColumn="0" w:noHBand="0" w:noVBand="1"/>
      </w:tblPr>
      <w:tblGrid>
        <w:gridCol w:w="2518"/>
        <w:gridCol w:w="6724"/>
      </w:tblGrid>
      <w:tr w:rsidR="00BE69CE" w:rsidRPr="00EA7AEA" w:rsidTr="0057300F">
        <w:tc>
          <w:tcPr>
            <w:tcW w:w="2518" w:type="dxa"/>
            <w:tcBorders>
              <w:bottom w:val="single" w:sz="4" w:space="0" w:color="auto"/>
            </w:tcBorders>
            <w:shd w:val="clear" w:color="auto" w:fill="B8CCE4" w:themeFill="accent1" w:themeFillTint="66"/>
          </w:tcPr>
          <w:p w:rsidR="00170568" w:rsidRPr="00EA7AEA" w:rsidRDefault="00170568" w:rsidP="00F307E3">
            <w:pPr>
              <w:spacing w:before="60"/>
              <w:rPr>
                <w:rFonts w:cs="Arial"/>
                <w:b/>
                <w:sz w:val="20"/>
                <w:szCs w:val="20"/>
              </w:rPr>
            </w:pPr>
            <w:r w:rsidRPr="00EA7AEA">
              <w:rPr>
                <w:rFonts w:cs="Arial"/>
                <w:b/>
                <w:sz w:val="20"/>
                <w:szCs w:val="20"/>
              </w:rPr>
              <w:t xml:space="preserve">Project </w:t>
            </w:r>
            <w:r w:rsidR="00E83D8D" w:rsidRPr="00EA7AEA">
              <w:rPr>
                <w:rFonts w:cs="Arial"/>
                <w:b/>
                <w:sz w:val="20"/>
                <w:szCs w:val="20"/>
              </w:rPr>
              <w:t>Manager</w:t>
            </w:r>
            <w:r w:rsidRPr="00EA7AEA">
              <w:rPr>
                <w:rFonts w:cs="Arial"/>
                <w:b/>
                <w:sz w:val="20"/>
                <w:szCs w:val="20"/>
              </w:rPr>
              <w:t>:</w:t>
            </w:r>
          </w:p>
          <w:p w:rsidR="00170568" w:rsidRPr="00EA7AEA" w:rsidRDefault="005C22B7" w:rsidP="00F307E3">
            <w:pPr>
              <w:spacing w:after="60"/>
              <w:rPr>
                <w:rFonts w:cs="Arial"/>
                <w:b/>
                <w:sz w:val="20"/>
                <w:szCs w:val="20"/>
              </w:rPr>
            </w:pPr>
            <w:r w:rsidRPr="00EA7AEA">
              <w:rPr>
                <w:rFonts w:cs="Arial"/>
                <w:i/>
                <w:sz w:val="20"/>
                <w:szCs w:val="20"/>
              </w:rPr>
              <w:t>(Name)</w:t>
            </w:r>
          </w:p>
        </w:tc>
        <w:tc>
          <w:tcPr>
            <w:tcW w:w="6724" w:type="dxa"/>
          </w:tcPr>
          <w:p w:rsidR="00170568" w:rsidRPr="00EA7AEA" w:rsidRDefault="00170568" w:rsidP="00401C12">
            <w:pPr>
              <w:rPr>
                <w:rFonts w:cs="Arial"/>
                <w:sz w:val="20"/>
                <w:szCs w:val="20"/>
              </w:rPr>
            </w:pPr>
          </w:p>
        </w:tc>
      </w:tr>
      <w:tr w:rsidR="00BE69CE" w:rsidRPr="00EA7AEA" w:rsidTr="0057300F">
        <w:tc>
          <w:tcPr>
            <w:tcW w:w="2518" w:type="dxa"/>
            <w:tcBorders>
              <w:top w:val="single" w:sz="4" w:space="0" w:color="auto"/>
              <w:bottom w:val="single" w:sz="4" w:space="0" w:color="auto"/>
            </w:tcBorders>
            <w:shd w:val="clear" w:color="auto" w:fill="B8CCE4" w:themeFill="accent1" w:themeFillTint="66"/>
          </w:tcPr>
          <w:p w:rsidR="00170568" w:rsidRPr="00EA7AEA" w:rsidRDefault="00170568" w:rsidP="00F307E3">
            <w:pPr>
              <w:spacing w:before="60"/>
              <w:rPr>
                <w:rFonts w:cs="Arial"/>
                <w:b/>
                <w:sz w:val="20"/>
                <w:szCs w:val="20"/>
              </w:rPr>
            </w:pPr>
            <w:r w:rsidRPr="00EA7AEA">
              <w:rPr>
                <w:rFonts w:cs="Arial"/>
                <w:b/>
                <w:sz w:val="20"/>
                <w:szCs w:val="20"/>
              </w:rPr>
              <w:t>Project Director:</w:t>
            </w:r>
          </w:p>
          <w:p w:rsidR="00170568" w:rsidRPr="00EA7AEA" w:rsidRDefault="005C22B7" w:rsidP="00F307E3">
            <w:pPr>
              <w:spacing w:after="60"/>
              <w:rPr>
                <w:rFonts w:cs="Arial"/>
                <w:b/>
                <w:sz w:val="20"/>
                <w:szCs w:val="20"/>
              </w:rPr>
            </w:pPr>
            <w:r w:rsidRPr="00EA7AEA">
              <w:rPr>
                <w:rFonts w:cs="Arial"/>
                <w:i/>
                <w:sz w:val="20"/>
                <w:szCs w:val="20"/>
              </w:rPr>
              <w:t>(Name)</w:t>
            </w:r>
          </w:p>
        </w:tc>
        <w:tc>
          <w:tcPr>
            <w:tcW w:w="6724" w:type="dxa"/>
          </w:tcPr>
          <w:p w:rsidR="00170568" w:rsidRPr="00EA7AEA" w:rsidRDefault="00170568" w:rsidP="00401C12">
            <w:pPr>
              <w:rPr>
                <w:rFonts w:cs="Arial"/>
                <w:sz w:val="20"/>
                <w:szCs w:val="20"/>
              </w:rPr>
            </w:pPr>
          </w:p>
        </w:tc>
      </w:tr>
      <w:tr w:rsidR="00BE69CE" w:rsidRPr="00EA7AEA" w:rsidTr="0057300F">
        <w:tc>
          <w:tcPr>
            <w:tcW w:w="2518" w:type="dxa"/>
            <w:tcBorders>
              <w:top w:val="single" w:sz="4" w:space="0" w:color="auto"/>
            </w:tcBorders>
            <w:shd w:val="clear" w:color="auto" w:fill="B8CCE4" w:themeFill="accent1" w:themeFillTint="66"/>
          </w:tcPr>
          <w:p w:rsidR="00170568" w:rsidRPr="00EA7AEA" w:rsidRDefault="00170568" w:rsidP="00AB1E23">
            <w:pPr>
              <w:spacing w:before="120" w:after="120"/>
              <w:rPr>
                <w:rFonts w:cs="Arial"/>
                <w:b/>
                <w:sz w:val="20"/>
                <w:szCs w:val="20"/>
              </w:rPr>
            </w:pPr>
            <w:r w:rsidRPr="00EA7AEA">
              <w:rPr>
                <w:rFonts w:cs="Arial"/>
                <w:b/>
                <w:sz w:val="20"/>
                <w:szCs w:val="20"/>
              </w:rPr>
              <w:t>Date:</w:t>
            </w:r>
          </w:p>
        </w:tc>
        <w:tc>
          <w:tcPr>
            <w:tcW w:w="6724" w:type="dxa"/>
          </w:tcPr>
          <w:p w:rsidR="00170568" w:rsidRPr="00EA7AEA" w:rsidRDefault="00170568" w:rsidP="00401C12">
            <w:pPr>
              <w:rPr>
                <w:rFonts w:cs="Arial"/>
                <w:sz w:val="20"/>
                <w:szCs w:val="20"/>
              </w:rPr>
            </w:pPr>
          </w:p>
        </w:tc>
      </w:tr>
    </w:tbl>
    <w:p w:rsidR="00401C12" w:rsidRPr="00EA7AEA" w:rsidRDefault="00401C12" w:rsidP="00401C12">
      <w:pPr>
        <w:rPr>
          <w:rFonts w:cs="Arial"/>
        </w:rPr>
      </w:pPr>
    </w:p>
    <w:p w:rsidR="00965AA6" w:rsidRPr="00EA7AEA" w:rsidRDefault="00965AA6" w:rsidP="00401C12">
      <w:pPr>
        <w:rPr>
          <w:rFonts w:cs="Arial"/>
        </w:rPr>
      </w:pPr>
    </w:p>
    <w:p w:rsidR="00AB1E23" w:rsidRPr="00EA7AEA" w:rsidRDefault="00AB1E23" w:rsidP="00401C12">
      <w:pPr>
        <w:rPr>
          <w:rFonts w:cs="Arial"/>
        </w:rPr>
      </w:pPr>
    </w:p>
    <w:tbl>
      <w:tblPr>
        <w:tblStyle w:val="TableGrid"/>
        <w:tblW w:w="0" w:type="auto"/>
        <w:tblLook w:val="04A0" w:firstRow="1" w:lastRow="0" w:firstColumn="1" w:lastColumn="0" w:noHBand="0" w:noVBand="1"/>
      </w:tblPr>
      <w:tblGrid>
        <w:gridCol w:w="9242"/>
      </w:tblGrid>
      <w:tr w:rsidR="00BE69CE" w:rsidRPr="00EA7AEA" w:rsidTr="0057300F">
        <w:tc>
          <w:tcPr>
            <w:tcW w:w="9242" w:type="dxa"/>
            <w:shd w:val="clear" w:color="auto" w:fill="B8CCE4" w:themeFill="accent1" w:themeFillTint="66"/>
          </w:tcPr>
          <w:p w:rsidR="00170568" w:rsidRPr="00EA7AEA" w:rsidRDefault="00170568" w:rsidP="00F307E3">
            <w:pPr>
              <w:spacing w:before="60" w:after="60"/>
              <w:rPr>
                <w:rFonts w:cs="Arial"/>
                <w:b/>
                <w:sz w:val="20"/>
                <w:szCs w:val="20"/>
              </w:rPr>
            </w:pPr>
            <w:r w:rsidRPr="00EA7AEA">
              <w:rPr>
                <w:rFonts w:cs="Arial"/>
                <w:b/>
                <w:sz w:val="20"/>
                <w:szCs w:val="20"/>
              </w:rPr>
              <w:t>Project Title</w:t>
            </w:r>
            <w:r w:rsidR="00F938F5" w:rsidRPr="00EA7AEA">
              <w:rPr>
                <w:rFonts w:cs="Arial"/>
                <w:b/>
                <w:sz w:val="20"/>
                <w:szCs w:val="20"/>
              </w:rPr>
              <w:t xml:space="preserve"> and Background</w:t>
            </w:r>
            <w:r w:rsidRPr="00EA7AEA">
              <w:rPr>
                <w:rFonts w:cs="Arial"/>
                <w:b/>
                <w:sz w:val="20"/>
                <w:szCs w:val="20"/>
              </w:rPr>
              <w:t>:</w:t>
            </w:r>
          </w:p>
          <w:p w:rsidR="00F938F5" w:rsidRPr="00EA7AEA" w:rsidRDefault="005C22B7" w:rsidP="00F307E3">
            <w:pPr>
              <w:spacing w:before="60" w:after="60"/>
              <w:rPr>
                <w:rFonts w:cs="Arial"/>
                <w:sz w:val="20"/>
                <w:szCs w:val="20"/>
              </w:rPr>
            </w:pPr>
            <w:r w:rsidRPr="00EA7AEA">
              <w:rPr>
                <w:rFonts w:cs="Arial"/>
                <w:i/>
                <w:sz w:val="20"/>
                <w:szCs w:val="20"/>
              </w:rPr>
              <w:t>(Include summary of proposed service and c</w:t>
            </w:r>
            <w:r w:rsidR="00F938F5" w:rsidRPr="00EA7AEA">
              <w:rPr>
                <w:rFonts w:cs="Arial"/>
                <w:i/>
                <w:sz w:val="20"/>
                <w:szCs w:val="20"/>
              </w:rPr>
              <w:t>ross reference to annual operating plan</w:t>
            </w:r>
            <w:r w:rsidRPr="00EA7AEA">
              <w:rPr>
                <w:rFonts w:cs="Arial"/>
                <w:i/>
                <w:sz w:val="20"/>
                <w:szCs w:val="20"/>
              </w:rPr>
              <w:t>)</w:t>
            </w:r>
          </w:p>
        </w:tc>
      </w:tr>
      <w:tr w:rsidR="00BE69CE" w:rsidRPr="00EA7AEA" w:rsidTr="0057300F">
        <w:tc>
          <w:tcPr>
            <w:tcW w:w="9242" w:type="dxa"/>
            <w:tcBorders>
              <w:bottom w:val="single" w:sz="4" w:space="0" w:color="auto"/>
            </w:tcBorders>
          </w:tcPr>
          <w:p w:rsidR="00170568" w:rsidRPr="00EA7AEA" w:rsidRDefault="00170568" w:rsidP="0035317E">
            <w:pPr>
              <w:rPr>
                <w:rFonts w:cs="Arial"/>
                <w:sz w:val="20"/>
                <w:szCs w:val="20"/>
              </w:rPr>
            </w:pPr>
          </w:p>
          <w:p w:rsidR="00170568" w:rsidRPr="00EA7AEA" w:rsidRDefault="00170568" w:rsidP="0035317E">
            <w:pPr>
              <w:rPr>
                <w:rFonts w:cs="Arial"/>
                <w:sz w:val="20"/>
                <w:szCs w:val="20"/>
              </w:rPr>
            </w:pPr>
          </w:p>
          <w:p w:rsidR="00170568" w:rsidRPr="00EA7AEA" w:rsidRDefault="00170568" w:rsidP="0035317E">
            <w:pPr>
              <w:rPr>
                <w:rFonts w:cs="Arial"/>
                <w:sz w:val="20"/>
                <w:szCs w:val="20"/>
              </w:rPr>
            </w:pPr>
          </w:p>
        </w:tc>
      </w:tr>
      <w:tr w:rsidR="00BE69CE" w:rsidRPr="00EA7AEA" w:rsidTr="0057300F">
        <w:tc>
          <w:tcPr>
            <w:tcW w:w="9242" w:type="dxa"/>
            <w:shd w:val="clear" w:color="auto" w:fill="B8CCE4" w:themeFill="accent1" w:themeFillTint="66"/>
          </w:tcPr>
          <w:p w:rsidR="00170568" w:rsidRPr="00EA7AEA" w:rsidRDefault="00170568" w:rsidP="00AB1E23">
            <w:pPr>
              <w:spacing w:before="60" w:after="60"/>
              <w:rPr>
                <w:rFonts w:cs="Arial"/>
                <w:b/>
                <w:sz w:val="20"/>
                <w:szCs w:val="20"/>
              </w:rPr>
            </w:pPr>
            <w:r w:rsidRPr="00EA7AEA">
              <w:rPr>
                <w:rFonts w:cs="Arial"/>
                <w:b/>
                <w:sz w:val="20"/>
                <w:szCs w:val="20"/>
              </w:rPr>
              <w:t>Proposed Contract:</w:t>
            </w:r>
          </w:p>
          <w:p w:rsidR="00F938F5" w:rsidRPr="00EA7AEA" w:rsidRDefault="00F938F5" w:rsidP="00AB1E23">
            <w:pPr>
              <w:spacing w:before="60" w:after="60"/>
              <w:rPr>
                <w:rFonts w:cs="Arial"/>
                <w:i/>
                <w:sz w:val="20"/>
                <w:szCs w:val="20"/>
              </w:rPr>
            </w:pPr>
            <w:r w:rsidRPr="00EA7AEA">
              <w:rPr>
                <w:rFonts w:cs="Arial"/>
                <w:i/>
                <w:sz w:val="20"/>
                <w:szCs w:val="20"/>
              </w:rPr>
              <w:t>(</w:t>
            </w:r>
            <w:r w:rsidR="00E83D8D" w:rsidRPr="00EA7AEA">
              <w:rPr>
                <w:rFonts w:cs="Arial"/>
                <w:i/>
                <w:sz w:val="20"/>
                <w:szCs w:val="20"/>
              </w:rPr>
              <w:t>I</w:t>
            </w:r>
            <w:r w:rsidRPr="00EA7AEA">
              <w:rPr>
                <w:rFonts w:cs="Arial"/>
                <w:i/>
                <w:sz w:val="20"/>
                <w:szCs w:val="20"/>
              </w:rPr>
              <w:t>nclude proposed provider, contract duration and proposed commencement date)</w:t>
            </w:r>
          </w:p>
        </w:tc>
      </w:tr>
      <w:tr w:rsidR="00BE69CE" w:rsidRPr="00EA7AEA" w:rsidTr="0057300F">
        <w:tc>
          <w:tcPr>
            <w:tcW w:w="9242" w:type="dxa"/>
            <w:tcBorders>
              <w:bottom w:val="single" w:sz="4" w:space="0" w:color="auto"/>
            </w:tcBorders>
          </w:tcPr>
          <w:p w:rsidR="005C22B7" w:rsidRPr="00EA7AEA" w:rsidRDefault="005C22B7" w:rsidP="00170568">
            <w:pPr>
              <w:rPr>
                <w:rFonts w:cs="Arial"/>
                <w:sz w:val="20"/>
                <w:szCs w:val="20"/>
              </w:rPr>
            </w:pPr>
          </w:p>
          <w:p w:rsidR="005C22B7" w:rsidRPr="00EA7AEA" w:rsidRDefault="005C22B7" w:rsidP="00170568">
            <w:pPr>
              <w:rPr>
                <w:rFonts w:cs="Arial"/>
                <w:sz w:val="20"/>
                <w:szCs w:val="20"/>
              </w:rPr>
            </w:pPr>
          </w:p>
          <w:p w:rsidR="005C22B7" w:rsidRPr="00EA7AEA" w:rsidRDefault="005C22B7" w:rsidP="00170568">
            <w:pPr>
              <w:rPr>
                <w:rFonts w:cs="Arial"/>
                <w:sz w:val="20"/>
                <w:szCs w:val="20"/>
              </w:rPr>
            </w:pPr>
          </w:p>
        </w:tc>
      </w:tr>
      <w:tr w:rsidR="00BE69CE" w:rsidRPr="00EA7AEA" w:rsidTr="0057300F">
        <w:tc>
          <w:tcPr>
            <w:tcW w:w="9242" w:type="dxa"/>
            <w:shd w:val="clear" w:color="auto" w:fill="B8CCE4" w:themeFill="accent1" w:themeFillTint="66"/>
          </w:tcPr>
          <w:p w:rsidR="00170568" w:rsidRPr="00EA7AEA" w:rsidRDefault="00170568" w:rsidP="00AB1E23">
            <w:pPr>
              <w:spacing w:before="60" w:after="60"/>
              <w:rPr>
                <w:rFonts w:cs="Arial"/>
                <w:b/>
                <w:sz w:val="20"/>
                <w:szCs w:val="20"/>
              </w:rPr>
            </w:pPr>
            <w:r w:rsidRPr="00EA7AEA">
              <w:rPr>
                <w:rFonts w:cs="Arial"/>
                <w:b/>
                <w:sz w:val="20"/>
                <w:szCs w:val="20"/>
              </w:rPr>
              <w:t>Market Assessment:</w:t>
            </w:r>
          </w:p>
          <w:p w:rsidR="00E83D8D" w:rsidRPr="00EA7AEA" w:rsidRDefault="00E83D8D" w:rsidP="00AB1E23">
            <w:pPr>
              <w:spacing w:before="60" w:after="60"/>
              <w:rPr>
                <w:rFonts w:cs="Arial"/>
                <w:sz w:val="20"/>
                <w:szCs w:val="20"/>
              </w:rPr>
            </w:pPr>
            <w:r w:rsidRPr="00EA7AEA">
              <w:rPr>
                <w:rFonts w:cs="Arial"/>
                <w:i/>
                <w:sz w:val="20"/>
                <w:szCs w:val="20"/>
              </w:rPr>
              <w:t>(Summary of outcome of market assessment supporting the proposal)</w:t>
            </w:r>
          </w:p>
        </w:tc>
      </w:tr>
      <w:tr w:rsidR="00BE69CE" w:rsidRPr="00EA7AEA" w:rsidTr="0057300F">
        <w:tc>
          <w:tcPr>
            <w:tcW w:w="9242" w:type="dxa"/>
            <w:tcBorders>
              <w:bottom w:val="single" w:sz="4" w:space="0" w:color="auto"/>
            </w:tcBorders>
          </w:tcPr>
          <w:p w:rsidR="005C22B7" w:rsidRPr="00EA7AEA" w:rsidRDefault="005C22B7" w:rsidP="00170568">
            <w:pPr>
              <w:rPr>
                <w:rFonts w:cs="Arial"/>
                <w:sz w:val="20"/>
                <w:szCs w:val="20"/>
              </w:rPr>
            </w:pPr>
          </w:p>
          <w:p w:rsidR="005C22B7" w:rsidRPr="00EA7AEA" w:rsidRDefault="005C22B7" w:rsidP="00170568">
            <w:pPr>
              <w:rPr>
                <w:rFonts w:cs="Arial"/>
                <w:sz w:val="20"/>
                <w:szCs w:val="20"/>
              </w:rPr>
            </w:pPr>
          </w:p>
          <w:p w:rsidR="005C22B7" w:rsidRPr="00EA7AEA" w:rsidRDefault="005C22B7" w:rsidP="00170568">
            <w:pPr>
              <w:rPr>
                <w:rFonts w:cs="Arial"/>
                <w:sz w:val="20"/>
                <w:szCs w:val="20"/>
              </w:rPr>
            </w:pPr>
          </w:p>
        </w:tc>
      </w:tr>
      <w:tr w:rsidR="00BE69CE" w:rsidRPr="00EA7AEA" w:rsidTr="0057300F">
        <w:tc>
          <w:tcPr>
            <w:tcW w:w="9242" w:type="dxa"/>
            <w:shd w:val="clear" w:color="auto" w:fill="B8CCE4" w:themeFill="accent1" w:themeFillTint="66"/>
          </w:tcPr>
          <w:p w:rsidR="00170568" w:rsidRPr="00EA7AEA" w:rsidRDefault="00170568" w:rsidP="00AB1E23">
            <w:pPr>
              <w:spacing w:before="60" w:after="60"/>
              <w:rPr>
                <w:rFonts w:cs="Arial"/>
                <w:b/>
                <w:sz w:val="20"/>
                <w:szCs w:val="20"/>
              </w:rPr>
            </w:pPr>
            <w:r w:rsidRPr="00EA7AEA">
              <w:rPr>
                <w:rFonts w:cs="Arial"/>
                <w:b/>
                <w:sz w:val="20"/>
                <w:szCs w:val="20"/>
              </w:rPr>
              <w:t>Financial Assessment:</w:t>
            </w:r>
          </w:p>
          <w:p w:rsidR="00E83D8D" w:rsidRPr="00EA7AEA" w:rsidRDefault="00E83D8D" w:rsidP="00AB1E23">
            <w:pPr>
              <w:spacing w:before="60" w:after="60"/>
              <w:rPr>
                <w:rFonts w:cs="Arial"/>
                <w:sz w:val="20"/>
                <w:szCs w:val="20"/>
              </w:rPr>
            </w:pPr>
            <w:r w:rsidRPr="00EA7AEA">
              <w:rPr>
                <w:rFonts w:cs="Arial"/>
                <w:i/>
                <w:sz w:val="20"/>
                <w:szCs w:val="20"/>
              </w:rPr>
              <w:t>(Anticipated total aggregated contract value)</w:t>
            </w:r>
          </w:p>
        </w:tc>
      </w:tr>
      <w:tr w:rsidR="00BE69CE" w:rsidRPr="00EA7AEA" w:rsidTr="0057300F">
        <w:tc>
          <w:tcPr>
            <w:tcW w:w="9242" w:type="dxa"/>
            <w:tcBorders>
              <w:bottom w:val="single" w:sz="4" w:space="0" w:color="auto"/>
            </w:tcBorders>
          </w:tcPr>
          <w:p w:rsidR="005C22B7" w:rsidRPr="00EA7AEA" w:rsidRDefault="005C22B7" w:rsidP="00170568">
            <w:pPr>
              <w:rPr>
                <w:rFonts w:cs="Arial"/>
                <w:sz w:val="20"/>
                <w:szCs w:val="20"/>
              </w:rPr>
            </w:pPr>
          </w:p>
          <w:p w:rsidR="005C22B7" w:rsidRPr="00EA7AEA" w:rsidRDefault="005C22B7" w:rsidP="00170568">
            <w:pPr>
              <w:rPr>
                <w:rFonts w:cs="Arial"/>
                <w:sz w:val="20"/>
                <w:szCs w:val="20"/>
              </w:rPr>
            </w:pPr>
          </w:p>
          <w:p w:rsidR="005C22B7" w:rsidRPr="00EA7AEA" w:rsidRDefault="005C22B7" w:rsidP="00170568">
            <w:pPr>
              <w:rPr>
                <w:rFonts w:cs="Arial"/>
                <w:sz w:val="20"/>
                <w:szCs w:val="20"/>
              </w:rPr>
            </w:pPr>
          </w:p>
        </w:tc>
      </w:tr>
      <w:tr w:rsidR="00BE69CE" w:rsidRPr="00EA7AEA" w:rsidTr="0057300F">
        <w:tc>
          <w:tcPr>
            <w:tcW w:w="9242" w:type="dxa"/>
            <w:shd w:val="clear" w:color="auto" w:fill="B8CCE4" w:themeFill="accent1" w:themeFillTint="66"/>
          </w:tcPr>
          <w:p w:rsidR="00170568" w:rsidRPr="00EA7AEA" w:rsidRDefault="00170568" w:rsidP="00AB1E23">
            <w:pPr>
              <w:spacing w:before="60" w:after="60"/>
              <w:rPr>
                <w:rFonts w:cs="Arial"/>
                <w:sz w:val="20"/>
                <w:szCs w:val="20"/>
              </w:rPr>
            </w:pPr>
            <w:r w:rsidRPr="00EA7AEA">
              <w:rPr>
                <w:rFonts w:cs="Arial"/>
                <w:b/>
                <w:sz w:val="20"/>
                <w:szCs w:val="20"/>
              </w:rPr>
              <w:t>Reasons for Not Tendering</w:t>
            </w:r>
            <w:r w:rsidR="005C22B7" w:rsidRPr="00EA7AEA">
              <w:rPr>
                <w:rFonts w:cs="Arial"/>
                <w:b/>
                <w:sz w:val="20"/>
                <w:szCs w:val="20"/>
              </w:rPr>
              <w:t>:</w:t>
            </w:r>
            <w:r w:rsidR="00F938F5" w:rsidRPr="00EA7AEA">
              <w:rPr>
                <w:rFonts w:cs="Arial"/>
                <w:sz w:val="20"/>
                <w:szCs w:val="20"/>
              </w:rPr>
              <w:t>:</w:t>
            </w:r>
          </w:p>
          <w:p w:rsidR="00E83D8D" w:rsidRPr="00EA7AEA" w:rsidRDefault="00E83D8D" w:rsidP="00AB1E23">
            <w:pPr>
              <w:spacing w:before="60" w:after="60"/>
              <w:rPr>
                <w:rFonts w:cs="Arial"/>
                <w:sz w:val="20"/>
                <w:szCs w:val="20"/>
              </w:rPr>
            </w:pPr>
            <w:r w:rsidRPr="00EA7AEA">
              <w:rPr>
                <w:rFonts w:cs="Arial"/>
                <w:i/>
                <w:sz w:val="20"/>
                <w:szCs w:val="20"/>
              </w:rPr>
              <w:t>(MUST ensure that reasons are permitted in accordance with the National Health Service (Procurement, Patient Choice and Competition) (No.2) Regulations 2013)</w:t>
            </w:r>
          </w:p>
        </w:tc>
      </w:tr>
      <w:tr w:rsidR="00BE69CE" w:rsidRPr="00EA7AEA" w:rsidTr="0057300F">
        <w:tc>
          <w:tcPr>
            <w:tcW w:w="9242" w:type="dxa"/>
            <w:tcBorders>
              <w:bottom w:val="single" w:sz="4" w:space="0" w:color="auto"/>
            </w:tcBorders>
          </w:tcPr>
          <w:p w:rsidR="005C22B7" w:rsidRPr="00EA7AEA" w:rsidRDefault="005C22B7" w:rsidP="00170568">
            <w:pPr>
              <w:rPr>
                <w:rFonts w:cs="Arial"/>
                <w:sz w:val="20"/>
                <w:szCs w:val="20"/>
              </w:rPr>
            </w:pPr>
          </w:p>
          <w:p w:rsidR="005C22B7" w:rsidRPr="00EA7AEA" w:rsidRDefault="005C22B7" w:rsidP="00170568">
            <w:pPr>
              <w:rPr>
                <w:rFonts w:cs="Arial"/>
                <w:sz w:val="20"/>
                <w:szCs w:val="20"/>
              </w:rPr>
            </w:pPr>
          </w:p>
          <w:p w:rsidR="005C22B7" w:rsidRPr="00EA7AEA" w:rsidRDefault="005C22B7" w:rsidP="00170568">
            <w:pPr>
              <w:rPr>
                <w:rFonts w:cs="Arial"/>
                <w:sz w:val="20"/>
                <w:szCs w:val="20"/>
              </w:rPr>
            </w:pPr>
          </w:p>
        </w:tc>
      </w:tr>
      <w:tr w:rsidR="00BE69CE" w:rsidRPr="00EA7AEA" w:rsidTr="0057300F">
        <w:tc>
          <w:tcPr>
            <w:tcW w:w="9242" w:type="dxa"/>
            <w:shd w:val="clear" w:color="auto" w:fill="B8CCE4" w:themeFill="accent1" w:themeFillTint="66"/>
          </w:tcPr>
          <w:p w:rsidR="00170568" w:rsidRPr="00EA7AEA" w:rsidRDefault="00170568" w:rsidP="00AB1E23">
            <w:pPr>
              <w:spacing w:before="60" w:after="60"/>
              <w:rPr>
                <w:rFonts w:cs="Arial"/>
                <w:b/>
                <w:sz w:val="20"/>
                <w:szCs w:val="20"/>
              </w:rPr>
            </w:pPr>
            <w:r w:rsidRPr="00EA7AEA">
              <w:rPr>
                <w:rFonts w:cs="Arial"/>
                <w:b/>
                <w:sz w:val="20"/>
                <w:szCs w:val="20"/>
              </w:rPr>
              <w:t>Risk Assessment:</w:t>
            </w:r>
          </w:p>
          <w:p w:rsidR="0044367A" w:rsidRPr="00EA7AEA" w:rsidRDefault="00E83D8D" w:rsidP="00697E58">
            <w:pPr>
              <w:spacing w:before="60" w:after="60"/>
              <w:rPr>
                <w:rFonts w:cs="Arial"/>
                <w:sz w:val="20"/>
                <w:szCs w:val="20"/>
              </w:rPr>
            </w:pPr>
            <w:r w:rsidRPr="00EA7AEA">
              <w:rPr>
                <w:rFonts w:cs="Arial"/>
                <w:i/>
                <w:sz w:val="20"/>
                <w:szCs w:val="20"/>
              </w:rPr>
              <w:t>(</w:t>
            </w:r>
            <w:r w:rsidR="0044367A" w:rsidRPr="00EA7AEA">
              <w:rPr>
                <w:rFonts w:cs="Arial"/>
                <w:i/>
                <w:sz w:val="20"/>
                <w:szCs w:val="20"/>
              </w:rPr>
              <w:t>Identify risks to patients i</w:t>
            </w:r>
            <w:r w:rsidR="00697E58" w:rsidRPr="00EA7AEA">
              <w:rPr>
                <w:rFonts w:cs="Arial"/>
                <w:i/>
                <w:sz w:val="20"/>
                <w:szCs w:val="20"/>
              </w:rPr>
              <w:t>f</w:t>
            </w:r>
            <w:r w:rsidR="0044367A" w:rsidRPr="00EA7AEA">
              <w:rPr>
                <w:rFonts w:cs="Arial"/>
                <w:i/>
                <w:sz w:val="20"/>
                <w:szCs w:val="20"/>
              </w:rPr>
              <w:t xml:space="preserve"> proposal is rejected / Identify risks to GCCG i</w:t>
            </w:r>
            <w:r w:rsidR="00697E58" w:rsidRPr="00EA7AEA">
              <w:rPr>
                <w:rFonts w:cs="Arial"/>
                <w:i/>
                <w:sz w:val="20"/>
                <w:szCs w:val="20"/>
              </w:rPr>
              <w:t>f</w:t>
            </w:r>
            <w:r w:rsidR="0044367A" w:rsidRPr="00EA7AEA">
              <w:rPr>
                <w:rFonts w:cs="Arial"/>
                <w:i/>
                <w:sz w:val="20"/>
                <w:szCs w:val="20"/>
              </w:rPr>
              <w:t xml:space="preserve"> proposal is accepted)</w:t>
            </w:r>
          </w:p>
        </w:tc>
      </w:tr>
      <w:tr w:rsidR="00BE69CE" w:rsidRPr="00EA7AEA" w:rsidTr="0057300F">
        <w:tc>
          <w:tcPr>
            <w:tcW w:w="9242" w:type="dxa"/>
            <w:tcBorders>
              <w:bottom w:val="single" w:sz="4" w:space="0" w:color="auto"/>
            </w:tcBorders>
          </w:tcPr>
          <w:p w:rsidR="005C22B7" w:rsidRPr="00EA7AEA" w:rsidRDefault="005C22B7" w:rsidP="00170568">
            <w:pPr>
              <w:rPr>
                <w:rFonts w:cs="Arial"/>
                <w:sz w:val="20"/>
                <w:szCs w:val="20"/>
              </w:rPr>
            </w:pPr>
          </w:p>
          <w:p w:rsidR="005C22B7" w:rsidRPr="00EA7AEA" w:rsidRDefault="005C22B7" w:rsidP="00170568">
            <w:pPr>
              <w:rPr>
                <w:rFonts w:cs="Arial"/>
                <w:sz w:val="20"/>
                <w:szCs w:val="20"/>
              </w:rPr>
            </w:pPr>
          </w:p>
          <w:p w:rsidR="005C22B7" w:rsidRPr="00EA7AEA" w:rsidRDefault="005C22B7" w:rsidP="00170568">
            <w:pPr>
              <w:rPr>
                <w:rFonts w:cs="Arial"/>
                <w:sz w:val="20"/>
                <w:szCs w:val="20"/>
              </w:rPr>
            </w:pPr>
          </w:p>
        </w:tc>
      </w:tr>
      <w:tr w:rsidR="00BE69CE" w:rsidRPr="00EA7AEA" w:rsidTr="0057300F">
        <w:tc>
          <w:tcPr>
            <w:tcW w:w="9242" w:type="dxa"/>
            <w:shd w:val="clear" w:color="auto" w:fill="B8CCE4" w:themeFill="accent1" w:themeFillTint="66"/>
          </w:tcPr>
          <w:p w:rsidR="00E83D8D" w:rsidRPr="00EA7AEA" w:rsidRDefault="00E83D8D" w:rsidP="00AB1E23">
            <w:pPr>
              <w:spacing w:before="60" w:after="60"/>
              <w:rPr>
                <w:rFonts w:cs="Arial"/>
                <w:b/>
                <w:sz w:val="20"/>
                <w:szCs w:val="20"/>
              </w:rPr>
            </w:pPr>
            <w:r w:rsidRPr="00EA7AEA">
              <w:rPr>
                <w:rFonts w:cs="Arial"/>
                <w:b/>
                <w:sz w:val="20"/>
                <w:szCs w:val="20"/>
              </w:rPr>
              <w:t>Due Diligence:</w:t>
            </w:r>
          </w:p>
          <w:p w:rsidR="00E83D8D" w:rsidRPr="00EA7AEA" w:rsidRDefault="00E83D8D" w:rsidP="00AB1E23">
            <w:pPr>
              <w:spacing w:before="60" w:after="60"/>
              <w:rPr>
                <w:rFonts w:cs="Arial"/>
                <w:sz w:val="20"/>
                <w:szCs w:val="20"/>
              </w:rPr>
            </w:pPr>
            <w:r w:rsidRPr="00EA7AEA">
              <w:rPr>
                <w:rFonts w:cs="Arial"/>
                <w:i/>
                <w:sz w:val="20"/>
                <w:szCs w:val="20"/>
              </w:rPr>
              <w:t>(Basic financial and quality assurance checks must be undertaken in respect of proposed service provider.  This will include: financial viability, economic standing, clinical capacity &amp; capability, governance, affordability / value for money)</w:t>
            </w:r>
          </w:p>
        </w:tc>
      </w:tr>
      <w:tr w:rsidR="00BE69CE" w:rsidRPr="00EA7AEA" w:rsidTr="0057300F">
        <w:tc>
          <w:tcPr>
            <w:tcW w:w="9242" w:type="dxa"/>
            <w:tcBorders>
              <w:bottom w:val="single" w:sz="4" w:space="0" w:color="auto"/>
            </w:tcBorders>
          </w:tcPr>
          <w:p w:rsidR="00E83D8D" w:rsidRPr="00EA7AEA" w:rsidRDefault="00E83D8D" w:rsidP="00170568">
            <w:pPr>
              <w:rPr>
                <w:rFonts w:cs="Arial"/>
                <w:sz w:val="20"/>
                <w:szCs w:val="20"/>
              </w:rPr>
            </w:pPr>
          </w:p>
          <w:p w:rsidR="00E83D8D" w:rsidRPr="00EA7AEA" w:rsidRDefault="00E83D8D" w:rsidP="00170568">
            <w:pPr>
              <w:rPr>
                <w:rFonts w:cs="Arial"/>
                <w:sz w:val="20"/>
                <w:szCs w:val="20"/>
              </w:rPr>
            </w:pPr>
          </w:p>
          <w:p w:rsidR="00E83D8D" w:rsidRPr="00EA7AEA" w:rsidRDefault="00E83D8D" w:rsidP="00170568">
            <w:pPr>
              <w:rPr>
                <w:rFonts w:cs="Arial"/>
                <w:sz w:val="20"/>
                <w:szCs w:val="20"/>
              </w:rPr>
            </w:pPr>
          </w:p>
        </w:tc>
      </w:tr>
      <w:tr w:rsidR="00BE69CE" w:rsidRPr="00EA7AEA" w:rsidTr="0057300F">
        <w:tc>
          <w:tcPr>
            <w:tcW w:w="9242" w:type="dxa"/>
            <w:shd w:val="clear" w:color="auto" w:fill="B8CCE4" w:themeFill="accent1" w:themeFillTint="66"/>
          </w:tcPr>
          <w:p w:rsidR="0057300F" w:rsidRPr="00EA7AEA" w:rsidRDefault="0057300F" w:rsidP="00AB1E23">
            <w:pPr>
              <w:spacing w:before="60" w:after="60"/>
              <w:rPr>
                <w:rFonts w:cs="Arial"/>
                <w:b/>
                <w:sz w:val="20"/>
                <w:szCs w:val="20"/>
              </w:rPr>
            </w:pPr>
            <w:r w:rsidRPr="00EA7AEA">
              <w:rPr>
                <w:rFonts w:cs="Arial"/>
                <w:b/>
                <w:sz w:val="20"/>
                <w:szCs w:val="20"/>
              </w:rPr>
              <w:lastRenderedPageBreak/>
              <w:t>Stakeholder Engagement:</w:t>
            </w:r>
          </w:p>
          <w:p w:rsidR="0057300F" w:rsidRPr="00EA7AEA" w:rsidRDefault="0057300F" w:rsidP="00AB1E23">
            <w:pPr>
              <w:spacing w:before="60" w:after="60"/>
              <w:rPr>
                <w:rFonts w:cs="Arial"/>
                <w:sz w:val="20"/>
                <w:szCs w:val="20"/>
              </w:rPr>
            </w:pPr>
            <w:r w:rsidRPr="00EA7AEA">
              <w:rPr>
                <w:rFonts w:cs="Arial"/>
                <w:i/>
                <w:sz w:val="20"/>
                <w:szCs w:val="20"/>
              </w:rPr>
              <w:t>(Is the proposal acceptable to patients?  Include findings of any patient engagement)</w:t>
            </w:r>
          </w:p>
        </w:tc>
      </w:tr>
      <w:tr w:rsidR="0057300F" w:rsidRPr="00EA7AEA" w:rsidTr="0035317E">
        <w:tc>
          <w:tcPr>
            <w:tcW w:w="9242" w:type="dxa"/>
          </w:tcPr>
          <w:p w:rsidR="0057300F" w:rsidRPr="00EA7AEA" w:rsidRDefault="0057300F" w:rsidP="00170568">
            <w:pPr>
              <w:rPr>
                <w:rFonts w:cs="Arial"/>
                <w:sz w:val="20"/>
                <w:szCs w:val="20"/>
              </w:rPr>
            </w:pPr>
          </w:p>
          <w:p w:rsidR="0057300F" w:rsidRPr="00EA7AEA" w:rsidRDefault="0057300F" w:rsidP="00170568">
            <w:pPr>
              <w:rPr>
                <w:rFonts w:cs="Arial"/>
                <w:sz w:val="20"/>
                <w:szCs w:val="20"/>
              </w:rPr>
            </w:pPr>
          </w:p>
          <w:p w:rsidR="0057300F" w:rsidRPr="00EA7AEA" w:rsidRDefault="0057300F" w:rsidP="00170568">
            <w:pPr>
              <w:rPr>
                <w:rFonts w:cs="Arial"/>
                <w:sz w:val="20"/>
                <w:szCs w:val="20"/>
              </w:rPr>
            </w:pPr>
          </w:p>
        </w:tc>
      </w:tr>
    </w:tbl>
    <w:p w:rsidR="001B7EA6" w:rsidRPr="00EA7AEA" w:rsidRDefault="001B7EA6" w:rsidP="00170568">
      <w:pPr>
        <w:rPr>
          <w:rFonts w:cs="Arial"/>
          <w:sz w:val="20"/>
          <w:szCs w:val="20"/>
        </w:rPr>
      </w:pPr>
    </w:p>
    <w:tbl>
      <w:tblPr>
        <w:tblStyle w:val="TableGrid"/>
        <w:tblW w:w="0" w:type="auto"/>
        <w:tblLook w:val="04A0" w:firstRow="1" w:lastRow="0" w:firstColumn="1" w:lastColumn="0" w:noHBand="0" w:noVBand="1"/>
      </w:tblPr>
      <w:tblGrid>
        <w:gridCol w:w="8472"/>
        <w:gridCol w:w="770"/>
      </w:tblGrid>
      <w:tr w:rsidR="00BE69CE" w:rsidRPr="00EA7AEA" w:rsidTr="0057300F">
        <w:tc>
          <w:tcPr>
            <w:tcW w:w="9242" w:type="dxa"/>
            <w:gridSpan w:val="2"/>
            <w:shd w:val="clear" w:color="auto" w:fill="B8CCE4" w:themeFill="accent1" w:themeFillTint="66"/>
          </w:tcPr>
          <w:p w:rsidR="0044367A" w:rsidRPr="00EA7AEA" w:rsidRDefault="0044367A" w:rsidP="00AB1E23">
            <w:pPr>
              <w:spacing w:before="60" w:after="60"/>
              <w:rPr>
                <w:rFonts w:cs="Arial"/>
                <w:b/>
                <w:sz w:val="20"/>
                <w:szCs w:val="20"/>
              </w:rPr>
            </w:pPr>
            <w:r w:rsidRPr="00EA7AEA">
              <w:rPr>
                <w:rFonts w:cs="Arial"/>
                <w:b/>
                <w:sz w:val="20"/>
                <w:szCs w:val="20"/>
              </w:rPr>
              <w:t>Compliance with Principles and Rules for Cooperation and Competition</w:t>
            </w:r>
            <w:r w:rsidR="007115F7" w:rsidRPr="00EA7AEA">
              <w:rPr>
                <w:rFonts w:cs="Arial"/>
                <w:b/>
                <w:sz w:val="20"/>
                <w:szCs w:val="20"/>
              </w:rPr>
              <w:t>:</w:t>
            </w:r>
          </w:p>
          <w:p w:rsidR="0044367A" w:rsidRPr="00EA7AEA" w:rsidRDefault="0044367A" w:rsidP="00AB1E23">
            <w:pPr>
              <w:spacing w:before="60" w:after="60"/>
              <w:rPr>
                <w:rFonts w:cs="Arial"/>
              </w:rPr>
            </w:pPr>
            <w:r w:rsidRPr="00EA7AEA">
              <w:rPr>
                <w:rFonts w:cs="Arial"/>
                <w:i/>
                <w:sz w:val="20"/>
                <w:szCs w:val="20"/>
              </w:rPr>
              <w:t>(Indicate Yes</w:t>
            </w:r>
            <w:r w:rsidR="00606F36" w:rsidRPr="00EA7AEA">
              <w:rPr>
                <w:rFonts w:cs="Arial"/>
                <w:i/>
                <w:sz w:val="20"/>
                <w:szCs w:val="20"/>
              </w:rPr>
              <w:t xml:space="preserve">, </w:t>
            </w:r>
            <w:r w:rsidRPr="00EA7AEA">
              <w:rPr>
                <w:rFonts w:cs="Arial"/>
                <w:i/>
                <w:sz w:val="20"/>
                <w:szCs w:val="20"/>
              </w:rPr>
              <w:t xml:space="preserve"> No </w:t>
            </w:r>
            <w:r w:rsidR="00606F36" w:rsidRPr="00EA7AEA">
              <w:rPr>
                <w:rFonts w:cs="Arial"/>
                <w:i/>
                <w:sz w:val="20"/>
                <w:szCs w:val="20"/>
              </w:rPr>
              <w:t>or</w:t>
            </w:r>
            <w:r w:rsidRPr="00EA7AEA">
              <w:rPr>
                <w:rFonts w:cs="Arial"/>
                <w:i/>
                <w:sz w:val="20"/>
                <w:szCs w:val="20"/>
              </w:rPr>
              <w:t xml:space="preserve"> N</w:t>
            </w:r>
            <w:r w:rsidR="00606F36" w:rsidRPr="00EA7AEA">
              <w:rPr>
                <w:rFonts w:cs="Arial"/>
                <w:i/>
                <w:sz w:val="20"/>
                <w:szCs w:val="20"/>
              </w:rPr>
              <w:t>/A</w:t>
            </w:r>
            <w:r w:rsidRPr="00EA7AEA">
              <w:rPr>
                <w:rFonts w:cs="Arial"/>
                <w:i/>
                <w:sz w:val="20"/>
                <w:szCs w:val="20"/>
              </w:rPr>
              <w:t>)</w:t>
            </w:r>
          </w:p>
        </w:tc>
      </w:tr>
      <w:tr w:rsidR="00BE69CE" w:rsidRPr="00EA7AEA" w:rsidTr="00606F36">
        <w:tc>
          <w:tcPr>
            <w:tcW w:w="8472" w:type="dxa"/>
          </w:tcPr>
          <w:p w:rsidR="00606F36" w:rsidRPr="00EA7AEA" w:rsidRDefault="00606F36" w:rsidP="00AB1E23">
            <w:pPr>
              <w:spacing w:before="60" w:after="60"/>
              <w:rPr>
                <w:rFonts w:cs="Arial"/>
              </w:rPr>
            </w:pPr>
            <w:r w:rsidRPr="00EA7AEA">
              <w:rPr>
                <w:rFonts w:cs="Arial"/>
                <w:sz w:val="20"/>
                <w:szCs w:val="20"/>
              </w:rPr>
              <w:t xml:space="preserve">Principle 1 - </w:t>
            </w:r>
            <w:r w:rsidRPr="00EA7AEA">
              <w:rPr>
                <w:rFonts w:cs="Arial"/>
                <w:i/>
                <w:sz w:val="20"/>
                <w:szCs w:val="20"/>
              </w:rPr>
              <w:t>Commissioners must commission services from the providers who are best placed to deliver the needs of their patients and populations.</w:t>
            </w:r>
          </w:p>
        </w:tc>
        <w:tc>
          <w:tcPr>
            <w:tcW w:w="770" w:type="dxa"/>
          </w:tcPr>
          <w:p w:rsidR="00606F36" w:rsidRPr="00EA7AEA" w:rsidRDefault="00606F36" w:rsidP="00170568">
            <w:pPr>
              <w:rPr>
                <w:rFonts w:cs="Arial"/>
              </w:rPr>
            </w:pPr>
          </w:p>
        </w:tc>
      </w:tr>
      <w:tr w:rsidR="00BE69CE" w:rsidRPr="00EA7AEA" w:rsidTr="00606F36">
        <w:tc>
          <w:tcPr>
            <w:tcW w:w="8472" w:type="dxa"/>
          </w:tcPr>
          <w:p w:rsidR="00606F36" w:rsidRPr="00EA7AEA" w:rsidRDefault="00606F36" w:rsidP="00AB1E23">
            <w:pPr>
              <w:spacing w:before="60" w:after="60"/>
              <w:rPr>
                <w:rFonts w:cs="Arial"/>
              </w:rPr>
            </w:pPr>
            <w:r w:rsidRPr="00EA7AEA">
              <w:rPr>
                <w:rFonts w:cs="Arial"/>
                <w:sz w:val="20"/>
                <w:szCs w:val="20"/>
              </w:rPr>
              <w:t xml:space="preserve">Principle 2 - </w:t>
            </w:r>
            <w:r w:rsidRPr="00EA7AEA">
              <w:rPr>
                <w:rFonts w:cs="Arial"/>
                <w:i/>
                <w:sz w:val="20"/>
                <w:szCs w:val="20"/>
              </w:rPr>
              <w:t>Commissioning and procurement must be transparent and non-discriminatory.</w:t>
            </w:r>
          </w:p>
        </w:tc>
        <w:tc>
          <w:tcPr>
            <w:tcW w:w="770" w:type="dxa"/>
          </w:tcPr>
          <w:p w:rsidR="00606F36" w:rsidRPr="00EA7AEA" w:rsidRDefault="00606F36" w:rsidP="00170568">
            <w:pPr>
              <w:rPr>
                <w:rFonts w:cs="Arial"/>
              </w:rPr>
            </w:pPr>
          </w:p>
        </w:tc>
      </w:tr>
      <w:tr w:rsidR="00BE69CE" w:rsidRPr="00EA7AEA" w:rsidTr="00606F36">
        <w:tc>
          <w:tcPr>
            <w:tcW w:w="8472" w:type="dxa"/>
          </w:tcPr>
          <w:p w:rsidR="00606F36" w:rsidRPr="00EA7AEA" w:rsidRDefault="00606F36" w:rsidP="00AB1E23">
            <w:pPr>
              <w:spacing w:before="60" w:after="60"/>
              <w:rPr>
                <w:rFonts w:cs="Arial"/>
              </w:rPr>
            </w:pPr>
            <w:r w:rsidRPr="00EA7AEA">
              <w:rPr>
                <w:rFonts w:cs="Arial"/>
                <w:sz w:val="20"/>
                <w:szCs w:val="20"/>
              </w:rPr>
              <w:t xml:space="preserve">Principle 3 - </w:t>
            </w:r>
            <w:r w:rsidRPr="00EA7AEA">
              <w:rPr>
                <w:rFonts w:cs="Arial"/>
                <w:i/>
                <w:sz w:val="20"/>
                <w:szCs w:val="20"/>
              </w:rPr>
              <w:t>Payment regimes and financial intervention in the system must be transparent and fair.</w:t>
            </w:r>
          </w:p>
        </w:tc>
        <w:tc>
          <w:tcPr>
            <w:tcW w:w="770" w:type="dxa"/>
          </w:tcPr>
          <w:p w:rsidR="00606F36" w:rsidRPr="00EA7AEA" w:rsidRDefault="00606F36" w:rsidP="00170568">
            <w:pPr>
              <w:rPr>
                <w:rFonts w:cs="Arial"/>
              </w:rPr>
            </w:pPr>
          </w:p>
        </w:tc>
      </w:tr>
      <w:tr w:rsidR="00BE69CE" w:rsidRPr="00EA7AEA" w:rsidTr="00606F36">
        <w:tc>
          <w:tcPr>
            <w:tcW w:w="8472" w:type="dxa"/>
          </w:tcPr>
          <w:p w:rsidR="00606F36" w:rsidRPr="00EA7AEA" w:rsidRDefault="00606F36" w:rsidP="00AB1E23">
            <w:pPr>
              <w:spacing w:before="60" w:after="60"/>
              <w:rPr>
                <w:rFonts w:cs="Arial"/>
              </w:rPr>
            </w:pPr>
            <w:r w:rsidRPr="00EA7AEA">
              <w:rPr>
                <w:rFonts w:cs="Arial"/>
                <w:sz w:val="20"/>
                <w:szCs w:val="20"/>
              </w:rPr>
              <w:t xml:space="preserve">Principle 4 - </w:t>
            </w:r>
            <w:r w:rsidRPr="00EA7AEA">
              <w:rPr>
                <w:rFonts w:cs="Arial"/>
                <w:i/>
                <w:sz w:val="20"/>
                <w:szCs w:val="20"/>
              </w:rPr>
              <w:t>Providers and commissioners must cooperate to improve services and deliver seamless and sustainable care to patients.</w:t>
            </w:r>
          </w:p>
        </w:tc>
        <w:tc>
          <w:tcPr>
            <w:tcW w:w="770" w:type="dxa"/>
          </w:tcPr>
          <w:p w:rsidR="00606F36" w:rsidRPr="00EA7AEA" w:rsidRDefault="00606F36" w:rsidP="00170568">
            <w:pPr>
              <w:rPr>
                <w:rFonts w:cs="Arial"/>
              </w:rPr>
            </w:pPr>
          </w:p>
        </w:tc>
      </w:tr>
      <w:tr w:rsidR="00BE69CE" w:rsidRPr="00EA7AEA" w:rsidTr="00606F36">
        <w:tc>
          <w:tcPr>
            <w:tcW w:w="8472" w:type="dxa"/>
          </w:tcPr>
          <w:p w:rsidR="00606F36" w:rsidRPr="00EA7AEA" w:rsidRDefault="00606F36" w:rsidP="00AB1E23">
            <w:pPr>
              <w:spacing w:before="60" w:after="60"/>
              <w:rPr>
                <w:rFonts w:cs="Arial"/>
              </w:rPr>
            </w:pPr>
            <w:r w:rsidRPr="00EA7AEA">
              <w:rPr>
                <w:rFonts w:cs="Arial"/>
                <w:sz w:val="20"/>
                <w:szCs w:val="20"/>
              </w:rPr>
              <w:t xml:space="preserve">Principle 5 - </w:t>
            </w:r>
            <w:r w:rsidRPr="00EA7AEA">
              <w:rPr>
                <w:rFonts w:cs="Arial"/>
                <w:i/>
                <w:sz w:val="20"/>
                <w:szCs w:val="20"/>
              </w:rPr>
              <w:t>Commissioners and providers should promote patient choice, including, where appropriate, choice of Any Qualified Provider and ensure that patients have accurate, reliable and accessible information to exercise more choice and control over their health</w:t>
            </w:r>
            <w:r w:rsidR="00E46443" w:rsidRPr="00EA7AEA">
              <w:rPr>
                <w:rFonts w:cs="Arial"/>
                <w:i/>
                <w:sz w:val="20"/>
                <w:szCs w:val="20"/>
              </w:rPr>
              <w:t xml:space="preserve"> </w:t>
            </w:r>
            <w:r w:rsidRPr="00EA7AEA">
              <w:rPr>
                <w:rFonts w:cs="Arial"/>
                <w:i/>
                <w:sz w:val="20"/>
                <w:szCs w:val="20"/>
              </w:rPr>
              <w:t>care.</w:t>
            </w:r>
          </w:p>
        </w:tc>
        <w:tc>
          <w:tcPr>
            <w:tcW w:w="770" w:type="dxa"/>
          </w:tcPr>
          <w:p w:rsidR="00606F36" w:rsidRPr="00EA7AEA" w:rsidRDefault="00606F36" w:rsidP="00170568">
            <w:pPr>
              <w:rPr>
                <w:rFonts w:cs="Arial"/>
              </w:rPr>
            </w:pPr>
          </w:p>
        </w:tc>
      </w:tr>
      <w:tr w:rsidR="00BE69CE" w:rsidRPr="00EA7AEA" w:rsidTr="00606F36">
        <w:tc>
          <w:tcPr>
            <w:tcW w:w="8472" w:type="dxa"/>
          </w:tcPr>
          <w:p w:rsidR="00606F36" w:rsidRPr="00EA7AEA" w:rsidRDefault="00606F36" w:rsidP="00AB1E23">
            <w:pPr>
              <w:spacing w:before="60" w:after="60"/>
              <w:rPr>
                <w:rFonts w:cs="Arial"/>
              </w:rPr>
            </w:pPr>
            <w:r w:rsidRPr="00EA7AEA">
              <w:rPr>
                <w:rFonts w:cs="Arial"/>
                <w:sz w:val="20"/>
                <w:szCs w:val="20"/>
              </w:rPr>
              <w:t xml:space="preserve">Principle 6 - </w:t>
            </w:r>
            <w:r w:rsidRPr="00EA7AEA">
              <w:rPr>
                <w:rFonts w:cs="Arial"/>
                <w:i/>
                <w:sz w:val="20"/>
                <w:szCs w:val="20"/>
              </w:rPr>
              <w:t>Commissioners and providers should not reach agreements which restrict commissioner or patient choice against patients and taxpayers interests.</w:t>
            </w:r>
          </w:p>
        </w:tc>
        <w:tc>
          <w:tcPr>
            <w:tcW w:w="770" w:type="dxa"/>
          </w:tcPr>
          <w:p w:rsidR="00606F36" w:rsidRPr="00EA7AEA" w:rsidRDefault="00606F36" w:rsidP="00170568">
            <w:pPr>
              <w:rPr>
                <w:rFonts w:cs="Arial"/>
              </w:rPr>
            </w:pPr>
          </w:p>
        </w:tc>
      </w:tr>
      <w:tr w:rsidR="00BE69CE" w:rsidRPr="00EA7AEA" w:rsidTr="00606F36">
        <w:tc>
          <w:tcPr>
            <w:tcW w:w="8472" w:type="dxa"/>
          </w:tcPr>
          <w:p w:rsidR="00606F36" w:rsidRPr="00EA7AEA" w:rsidRDefault="00606F36" w:rsidP="00AB1E23">
            <w:pPr>
              <w:spacing w:before="60" w:after="60"/>
              <w:rPr>
                <w:rFonts w:cs="Arial"/>
              </w:rPr>
            </w:pPr>
            <w:r w:rsidRPr="00EA7AEA">
              <w:rPr>
                <w:rFonts w:cs="Arial"/>
                <w:sz w:val="20"/>
                <w:szCs w:val="20"/>
              </w:rPr>
              <w:t xml:space="preserve">Principle 7 - </w:t>
            </w:r>
            <w:r w:rsidRPr="00EA7AEA">
              <w:rPr>
                <w:rFonts w:cs="Arial"/>
                <w:i/>
                <w:sz w:val="20"/>
                <w:szCs w:val="20"/>
              </w:rPr>
              <w:t>Providers must not refuse to accept services or to supply essential services to commissioners where this restricts commission or patient choice against patients’ and taxpayers interests.</w:t>
            </w:r>
          </w:p>
        </w:tc>
        <w:tc>
          <w:tcPr>
            <w:tcW w:w="770" w:type="dxa"/>
          </w:tcPr>
          <w:p w:rsidR="00606F36" w:rsidRPr="00EA7AEA" w:rsidRDefault="00606F36" w:rsidP="00170568">
            <w:pPr>
              <w:rPr>
                <w:rFonts w:cs="Arial"/>
              </w:rPr>
            </w:pPr>
          </w:p>
        </w:tc>
      </w:tr>
      <w:tr w:rsidR="00BE69CE" w:rsidRPr="00EA7AEA" w:rsidTr="00606F36">
        <w:tc>
          <w:tcPr>
            <w:tcW w:w="8472" w:type="dxa"/>
          </w:tcPr>
          <w:p w:rsidR="00606F36" w:rsidRPr="00EA7AEA" w:rsidRDefault="00606F36" w:rsidP="00AB1E23">
            <w:pPr>
              <w:spacing w:before="60" w:after="60"/>
              <w:rPr>
                <w:rFonts w:cs="Arial"/>
              </w:rPr>
            </w:pPr>
            <w:r w:rsidRPr="00EA7AEA">
              <w:rPr>
                <w:rFonts w:cs="Arial"/>
                <w:sz w:val="20"/>
                <w:szCs w:val="20"/>
              </w:rPr>
              <w:t xml:space="preserve">Principle 8 - </w:t>
            </w:r>
            <w:r w:rsidRPr="00EA7AEA">
              <w:rPr>
                <w:rFonts w:cs="Arial"/>
                <w:i/>
                <w:sz w:val="20"/>
                <w:szCs w:val="20"/>
              </w:rPr>
              <w:t>Commissioners and providers must not discriminate unduly between patients and must promote equality.</w:t>
            </w:r>
          </w:p>
        </w:tc>
        <w:tc>
          <w:tcPr>
            <w:tcW w:w="770" w:type="dxa"/>
          </w:tcPr>
          <w:p w:rsidR="00606F36" w:rsidRPr="00EA7AEA" w:rsidRDefault="00606F36" w:rsidP="00170568">
            <w:pPr>
              <w:rPr>
                <w:rFonts w:cs="Arial"/>
              </w:rPr>
            </w:pPr>
          </w:p>
        </w:tc>
      </w:tr>
      <w:tr w:rsidR="00BE69CE" w:rsidRPr="00EA7AEA" w:rsidTr="00606F36">
        <w:tc>
          <w:tcPr>
            <w:tcW w:w="8472" w:type="dxa"/>
          </w:tcPr>
          <w:p w:rsidR="00606F36" w:rsidRPr="00EA7AEA" w:rsidRDefault="00606F36" w:rsidP="00AB1E23">
            <w:pPr>
              <w:spacing w:before="60" w:after="60"/>
              <w:rPr>
                <w:rFonts w:cs="Arial"/>
              </w:rPr>
            </w:pPr>
            <w:r w:rsidRPr="00EA7AEA">
              <w:rPr>
                <w:rFonts w:cs="Arial"/>
                <w:sz w:val="20"/>
                <w:szCs w:val="20"/>
              </w:rPr>
              <w:t xml:space="preserve">Principle 9 - </w:t>
            </w:r>
            <w:r w:rsidRPr="00EA7AEA">
              <w:rPr>
                <w:rFonts w:cs="Arial"/>
                <w:i/>
                <w:sz w:val="20"/>
                <w:szCs w:val="20"/>
              </w:rPr>
              <w:t>Appropriate promotional activity is encouraged as long as it remains consistent with patient’s best interests and the brand and reputation of the NHS</w:t>
            </w:r>
          </w:p>
        </w:tc>
        <w:tc>
          <w:tcPr>
            <w:tcW w:w="770" w:type="dxa"/>
          </w:tcPr>
          <w:p w:rsidR="00606F36" w:rsidRPr="00EA7AEA" w:rsidRDefault="00606F36" w:rsidP="00170568">
            <w:pPr>
              <w:rPr>
                <w:rFonts w:cs="Arial"/>
              </w:rPr>
            </w:pPr>
          </w:p>
        </w:tc>
      </w:tr>
      <w:tr w:rsidR="00606F36" w:rsidRPr="00EA7AEA" w:rsidTr="00606F36">
        <w:tc>
          <w:tcPr>
            <w:tcW w:w="8472" w:type="dxa"/>
          </w:tcPr>
          <w:p w:rsidR="00606F36" w:rsidRPr="00EA7AEA" w:rsidRDefault="00606F36" w:rsidP="00AB1E23">
            <w:pPr>
              <w:spacing w:before="60" w:after="60"/>
              <w:rPr>
                <w:rFonts w:cs="Arial"/>
              </w:rPr>
            </w:pPr>
            <w:r w:rsidRPr="00EA7AEA">
              <w:rPr>
                <w:rFonts w:cs="Arial"/>
                <w:sz w:val="20"/>
                <w:szCs w:val="20"/>
              </w:rPr>
              <w:t xml:space="preserve">Principle 10 - </w:t>
            </w:r>
            <w:r w:rsidRPr="00EA7AEA">
              <w:rPr>
                <w:rFonts w:cs="Arial"/>
                <w:i/>
                <w:sz w:val="20"/>
                <w:szCs w:val="20"/>
              </w:rPr>
              <w:t>Vertical integration is permissible where there remains sufficient choice and competition to ensure high quality standards of care and value for money.</w:t>
            </w:r>
          </w:p>
        </w:tc>
        <w:tc>
          <w:tcPr>
            <w:tcW w:w="770" w:type="dxa"/>
          </w:tcPr>
          <w:p w:rsidR="00606F36" w:rsidRPr="00EA7AEA" w:rsidRDefault="00606F36" w:rsidP="00170568">
            <w:pPr>
              <w:rPr>
                <w:rFonts w:cs="Arial"/>
              </w:rPr>
            </w:pPr>
          </w:p>
        </w:tc>
      </w:tr>
    </w:tbl>
    <w:p w:rsidR="001B7EA6" w:rsidRPr="00EA7AEA" w:rsidRDefault="001B7EA6" w:rsidP="00170568">
      <w:pPr>
        <w:rPr>
          <w:rFonts w:cs="Arial"/>
        </w:rPr>
      </w:pPr>
    </w:p>
    <w:tbl>
      <w:tblPr>
        <w:tblStyle w:val="TableGrid"/>
        <w:tblW w:w="0" w:type="auto"/>
        <w:tblLook w:val="04A0" w:firstRow="1" w:lastRow="0" w:firstColumn="1" w:lastColumn="0" w:noHBand="0" w:noVBand="1"/>
      </w:tblPr>
      <w:tblGrid>
        <w:gridCol w:w="4621"/>
        <w:gridCol w:w="4621"/>
      </w:tblGrid>
      <w:tr w:rsidR="00BE69CE" w:rsidRPr="00EA7AEA" w:rsidTr="0057300F">
        <w:tc>
          <w:tcPr>
            <w:tcW w:w="4621" w:type="dxa"/>
            <w:shd w:val="clear" w:color="auto" w:fill="B8CCE4" w:themeFill="accent1" w:themeFillTint="66"/>
          </w:tcPr>
          <w:p w:rsidR="0057300F" w:rsidRPr="00EA7AEA" w:rsidRDefault="0057300F" w:rsidP="00170568">
            <w:pPr>
              <w:rPr>
                <w:rFonts w:cs="Arial"/>
                <w:sz w:val="20"/>
                <w:szCs w:val="20"/>
              </w:rPr>
            </w:pPr>
          </w:p>
          <w:p w:rsidR="0057300F" w:rsidRPr="00EA7AEA" w:rsidRDefault="0057300F" w:rsidP="00170568">
            <w:pPr>
              <w:rPr>
                <w:rFonts w:cs="Arial"/>
                <w:b/>
                <w:sz w:val="20"/>
                <w:szCs w:val="20"/>
              </w:rPr>
            </w:pPr>
            <w:r w:rsidRPr="00EA7AEA">
              <w:rPr>
                <w:rFonts w:cs="Arial"/>
                <w:b/>
                <w:sz w:val="20"/>
                <w:szCs w:val="20"/>
              </w:rPr>
              <w:t>Approved / Rejected by GCCG Board</w:t>
            </w:r>
            <w:r w:rsidR="007115F7" w:rsidRPr="00EA7AEA">
              <w:rPr>
                <w:rFonts w:cs="Arial"/>
                <w:b/>
                <w:sz w:val="20"/>
                <w:szCs w:val="20"/>
              </w:rPr>
              <w:t>:</w:t>
            </w:r>
          </w:p>
          <w:p w:rsidR="0057300F" w:rsidRPr="00EA7AEA" w:rsidRDefault="0057300F" w:rsidP="00170568">
            <w:pPr>
              <w:rPr>
                <w:rFonts w:cs="Arial"/>
                <w:i/>
                <w:sz w:val="20"/>
                <w:szCs w:val="20"/>
              </w:rPr>
            </w:pPr>
            <w:r w:rsidRPr="00EA7AEA">
              <w:rPr>
                <w:rFonts w:cs="Arial"/>
                <w:i/>
                <w:sz w:val="20"/>
                <w:szCs w:val="20"/>
              </w:rPr>
              <w:t>(Signature)</w:t>
            </w:r>
          </w:p>
          <w:p w:rsidR="0057300F" w:rsidRPr="00EA7AEA" w:rsidRDefault="0057300F" w:rsidP="00170568">
            <w:pPr>
              <w:rPr>
                <w:rFonts w:cs="Arial"/>
                <w:sz w:val="20"/>
                <w:szCs w:val="20"/>
              </w:rPr>
            </w:pPr>
          </w:p>
        </w:tc>
        <w:tc>
          <w:tcPr>
            <w:tcW w:w="4621" w:type="dxa"/>
          </w:tcPr>
          <w:p w:rsidR="0057300F" w:rsidRPr="00EA7AEA" w:rsidRDefault="0057300F" w:rsidP="00170568">
            <w:pPr>
              <w:rPr>
                <w:rFonts w:cs="Arial"/>
                <w:sz w:val="20"/>
                <w:szCs w:val="20"/>
              </w:rPr>
            </w:pPr>
          </w:p>
        </w:tc>
      </w:tr>
      <w:tr w:rsidR="00BE69CE" w:rsidRPr="00EA7AEA" w:rsidTr="0057300F">
        <w:tc>
          <w:tcPr>
            <w:tcW w:w="4621" w:type="dxa"/>
            <w:shd w:val="clear" w:color="auto" w:fill="B8CCE4" w:themeFill="accent1" w:themeFillTint="66"/>
          </w:tcPr>
          <w:p w:rsidR="0057300F" w:rsidRPr="00EA7AEA" w:rsidRDefault="0057300F" w:rsidP="00170568">
            <w:pPr>
              <w:rPr>
                <w:rFonts w:cs="Arial"/>
                <w:sz w:val="20"/>
                <w:szCs w:val="20"/>
              </w:rPr>
            </w:pPr>
          </w:p>
          <w:p w:rsidR="0057300F" w:rsidRPr="00EA7AEA" w:rsidRDefault="0057300F" w:rsidP="00170568">
            <w:pPr>
              <w:rPr>
                <w:rFonts w:cs="Arial"/>
                <w:b/>
                <w:sz w:val="20"/>
                <w:szCs w:val="20"/>
              </w:rPr>
            </w:pPr>
            <w:r w:rsidRPr="00EA7AEA">
              <w:rPr>
                <w:rFonts w:cs="Arial"/>
                <w:b/>
                <w:sz w:val="20"/>
                <w:szCs w:val="20"/>
              </w:rPr>
              <w:t>Date:</w:t>
            </w:r>
          </w:p>
          <w:p w:rsidR="0057300F" w:rsidRPr="00EA7AEA" w:rsidRDefault="0057300F" w:rsidP="00170568">
            <w:pPr>
              <w:rPr>
                <w:rFonts w:cs="Arial"/>
                <w:sz w:val="20"/>
                <w:szCs w:val="20"/>
              </w:rPr>
            </w:pPr>
          </w:p>
        </w:tc>
        <w:tc>
          <w:tcPr>
            <w:tcW w:w="4621" w:type="dxa"/>
          </w:tcPr>
          <w:p w:rsidR="0057300F" w:rsidRPr="00EA7AEA" w:rsidRDefault="0057300F" w:rsidP="00170568">
            <w:pPr>
              <w:rPr>
                <w:rFonts w:cs="Arial"/>
                <w:sz w:val="20"/>
                <w:szCs w:val="20"/>
              </w:rPr>
            </w:pPr>
          </w:p>
        </w:tc>
      </w:tr>
      <w:tr w:rsidR="00BE69CE" w:rsidRPr="00EA7AEA" w:rsidTr="0057300F">
        <w:tc>
          <w:tcPr>
            <w:tcW w:w="4621" w:type="dxa"/>
            <w:shd w:val="clear" w:color="auto" w:fill="B8CCE4" w:themeFill="accent1" w:themeFillTint="66"/>
          </w:tcPr>
          <w:p w:rsidR="0057300F" w:rsidRPr="00EA7AEA" w:rsidRDefault="0057300F" w:rsidP="00170568">
            <w:pPr>
              <w:rPr>
                <w:rFonts w:cs="Arial"/>
                <w:sz w:val="20"/>
                <w:szCs w:val="20"/>
              </w:rPr>
            </w:pPr>
          </w:p>
          <w:p w:rsidR="0057300F" w:rsidRPr="00EA7AEA" w:rsidRDefault="0057300F" w:rsidP="00170568">
            <w:pPr>
              <w:rPr>
                <w:rFonts w:cs="Arial"/>
                <w:b/>
                <w:sz w:val="20"/>
                <w:szCs w:val="20"/>
              </w:rPr>
            </w:pPr>
            <w:r w:rsidRPr="00EA7AEA">
              <w:rPr>
                <w:rFonts w:cs="Arial"/>
                <w:b/>
                <w:sz w:val="20"/>
                <w:szCs w:val="20"/>
              </w:rPr>
              <w:t>Comments:</w:t>
            </w:r>
          </w:p>
          <w:p w:rsidR="0057300F" w:rsidRPr="00EA7AEA" w:rsidRDefault="0057300F" w:rsidP="00170568">
            <w:pPr>
              <w:rPr>
                <w:rFonts w:cs="Arial"/>
                <w:sz w:val="20"/>
                <w:szCs w:val="20"/>
              </w:rPr>
            </w:pPr>
          </w:p>
        </w:tc>
        <w:tc>
          <w:tcPr>
            <w:tcW w:w="4621" w:type="dxa"/>
          </w:tcPr>
          <w:p w:rsidR="0057300F" w:rsidRPr="00EA7AEA" w:rsidRDefault="0057300F" w:rsidP="00170568">
            <w:pPr>
              <w:rPr>
                <w:rFonts w:cs="Arial"/>
                <w:sz w:val="20"/>
                <w:szCs w:val="20"/>
              </w:rPr>
            </w:pPr>
          </w:p>
        </w:tc>
      </w:tr>
    </w:tbl>
    <w:p w:rsidR="001B7EA6" w:rsidRPr="00EA7AEA" w:rsidRDefault="001B7EA6" w:rsidP="00170568">
      <w:pPr>
        <w:rPr>
          <w:rFonts w:cs="Arial"/>
        </w:rPr>
      </w:pPr>
    </w:p>
    <w:p w:rsidR="001B7EA6" w:rsidRPr="00EA7AEA" w:rsidRDefault="001B7EA6" w:rsidP="00170568">
      <w:pPr>
        <w:rPr>
          <w:rFonts w:cs="Arial"/>
        </w:rPr>
      </w:pPr>
    </w:p>
    <w:p w:rsidR="001B7EA6" w:rsidRPr="00EA7AEA" w:rsidRDefault="001B7EA6" w:rsidP="00170568">
      <w:pPr>
        <w:rPr>
          <w:rFonts w:cs="Arial"/>
        </w:rPr>
      </w:pPr>
    </w:p>
    <w:p w:rsidR="001B7EA6" w:rsidRPr="00EA7AEA" w:rsidRDefault="001B7EA6" w:rsidP="00170568">
      <w:pPr>
        <w:rPr>
          <w:rFonts w:cs="Arial"/>
        </w:rPr>
      </w:pPr>
    </w:p>
    <w:p w:rsidR="001B7EA6" w:rsidRPr="00EA7AEA" w:rsidRDefault="001B7EA6" w:rsidP="00170568">
      <w:pPr>
        <w:rPr>
          <w:rFonts w:cs="Arial"/>
        </w:rPr>
      </w:pPr>
    </w:p>
    <w:p w:rsidR="00AB1E23" w:rsidRPr="00EA7AEA" w:rsidRDefault="00AB1E23" w:rsidP="00170568">
      <w:pPr>
        <w:rPr>
          <w:rFonts w:cs="Arial"/>
        </w:rPr>
      </w:pPr>
    </w:p>
    <w:p w:rsidR="00AB1E23" w:rsidRPr="00EA7AEA" w:rsidRDefault="00AB1E23" w:rsidP="00170568">
      <w:pPr>
        <w:rPr>
          <w:rFonts w:cs="Arial"/>
        </w:rPr>
      </w:pPr>
    </w:p>
    <w:p w:rsidR="00AB1E23" w:rsidRPr="00EA7AEA" w:rsidRDefault="00AB1E23" w:rsidP="00170568">
      <w:pPr>
        <w:rPr>
          <w:rFonts w:cs="Arial"/>
        </w:rPr>
      </w:pPr>
    </w:p>
    <w:p w:rsidR="00AB1E23" w:rsidRPr="00EA7AEA" w:rsidRDefault="00AB1E23" w:rsidP="00170568">
      <w:pPr>
        <w:rPr>
          <w:rFonts w:cs="Arial"/>
        </w:rPr>
      </w:pPr>
    </w:p>
    <w:p w:rsidR="00AB1E23" w:rsidRPr="00EA7AEA" w:rsidRDefault="00AB1E23" w:rsidP="00170568">
      <w:pPr>
        <w:rPr>
          <w:rFonts w:cs="Arial"/>
        </w:rPr>
      </w:pPr>
    </w:p>
    <w:p w:rsidR="00AB1E23" w:rsidRPr="00EA7AEA" w:rsidRDefault="00AB1E23" w:rsidP="00170568">
      <w:pPr>
        <w:rPr>
          <w:rFonts w:cs="Arial"/>
        </w:rPr>
      </w:pPr>
    </w:p>
    <w:p w:rsidR="00E20087" w:rsidRPr="00EA7AEA" w:rsidRDefault="00E20087" w:rsidP="00E20087">
      <w:pPr>
        <w:jc w:val="right"/>
        <w:rPr>
          <w:rFonts w:cs="Arial"/>
          <w:b/>
          <w:sz w:val="28"/>
          <w:szCs w:val="28"/>
        </w:rPr>
      </w:pPr>
      <w:r w:rsidRPr="00EA7AEA">
        <w:rPr>
          <w:rFonts w:cs="Arial"/>
          <w:b/>
          <w:sz w:val="28"/>
          <w:szCs w:val="28"/>
        </w:rPr>
        <w:lastRenderedPageBreak/>
        <w:t xml:space="preserve">Appendix </w:t>
      </w:r>
      <w:r w:rsidR="007A32BA" w:rsidRPr="00EA7AEA">
        <w:rPr>
          <w:rFonts w:cs="Arial"/>
          <w:b/>
          <w:sz w:val="28"/>
          <w:szCs w:val="28"/>
        </w:rPr>
        <w:t>2</w:t>
      </w:r>
    </w:p>
    <w:p w:rsidR="00E20087" w:rsidRPr="00EA7AEA" w:rsidRDefault="00E20087" w:rsidP="00E20087">
      <w:pPr>
        <w:jc w:val="center"/>
        <w:rPr>
          <w:rFonts w:cs="Arial"/>
          <w:b/>
          <w:sz w:val="28"/>
          <w:szCs w:val="28"/>
        </w:rPr>
      </w:pPr>
      <w:r w:rsidRPr="00EA7AEA">
        <w:rPr>
          <w:rFonts w:cs="Arial"/>
          <w:b/>
          <w:sz w:val="28"/>
          <w:szCs w:val="28"/>
        </w:rPr>
        <w:t>Dispute Resolution Form</w:t>
      </w:r>
    </w:p>
    <w:p w:rsidR="00E20087" w:rsidRPr="00EA7AEA" w:rsidRDefault="00E20087" w:rsidP="00E20087">
      <w:pPr>
        <w:jc w:val="both"/>
        <w:rPr>
          <w:rFonts w:cs="Arial"/>
        </w:rPr>
      </w:pPr>
    </w:p>
    <w:p w:rsidR="00E20087" w:rsidRPr="00EA7AEA" w:rsidRDefault="00E20087" w:rsidP="003A4281">
      <w:pPr>
        <w:ind w:left="709" w:hanging="709"/>
        <w:jc w:val="both"/>
        <w:rPr>
          <w:rFonts w:cs="Arial"/>
          <w:b/>
          <w:u w:val="single"/>
        </w:rPr>
      </w:pPr>
      <w:r w:rsidRPr="00EA7AEA">
        <w:rPr>
          <w:rFonts w:cs="Arial"/>
        </w:rPr>
        <w:t>1.</w:t>
      </w:r>
      <w:r w:rsidRPr="00EA7AEA">
        <w:rPr>
          <w:rFonts w:cs="Arial"/>
        </w:rPr>
        <w:tab/>
      </w:r>
      <w:r w:rsidRPr="00EA7AEA">
        <w:rPr>
          <w:rFonts w:cs="Arial"/>
          <w:u w:val="single"/>
        </w:rPr>
        <w:t>Complainant Contact Details:</w:t>
      </w:r>
    </w:p>
    <w:p w:rsidR="00D110DF" w:rsidRPr="00EA7AEA" w:rsidRDefault="00D110DF" w:rsidP="00E20087">
      <w:pPr>
        <w:jc w:val="both"/>
        <w:rPr>
          <w:rFonts w:cs="Arial"/>
        </w:rPr>
      </w:pPr>
    </w:p>
    <w:tbl>
      <w:tblPr>
        <w:tblStyle w:val="TableGrid"/>
        <w:tblW w:w="0" w:type="auto"/>
        <w:tblLook w:val="01E0" w:firstRow="1" w:lastRow="1" w:firstColumn="1" w:lastColumn="1" w:noHBand="0" w:noVBand="0"/>
      </w:tblPr>
      <w:tblGrid>
        <w:gridCol w:w="3369"/>
        <w:gridCol w:w="5873"/>
      </w:tblGrid>
      <w:tr w:rsidR="00BE69CE" w:rsidRPr="00EA7AEA" w:rsidTr="0017560E">
        <w:tc>
          <w:tcPr>
            <w:tcW w:w="3369" w:type="dxa"/>
            <w:tcBorders>
              <w:bottom w:val="single" w:sz="4" w:space="0" w:color="auto"/>
            </w:tcBorders>
            <w:shd w:val="clear" w:color="auto" w:fill="B8CCE4" w:themeFill="accent1" w:themeFillTint="66"/>
            <w:vAlign w:val="center"/>
          </w:tcPr>
          <w:p w:rsidR="00E20087" w:rsidRPr="00EA7AEA" w:rsidRDefault="00E20087" w:rsidP="0017560E">
            <w:pPr>
              <w:spacing w:before="60" w:after="60"/>
              <w:rPr>
                <w:rFonts w:cs="Arial"/>
                <w:b/>
                <w:sz w:val="20"/>
                <w:szCs w:val="20"/>
              </w:rPr>
            </w:pPr>
            <w:r w:rsidRPr="00EA7AEA">
              <w:rPr>
                <w:rFonts w:cs="Arial"/>
                <w:b/>
                <w:sz w:val="20"/>
                <w:szCs w:val="20"/>
              </w:rPr>
              <w:t>Name:</w:t>
            </w:r>
          </w:p>
        </w:tc>
        <w:tc>
          <w:tcPr>
            <w:tcW w:w="5873" w:type="dxa"/>
          </w:tcPr>
          <w:p w:rsidR="00E20087" w:rsidRPr="00EA7AEA" w:rsidRDefault="00E20087" w:rsidP="00E20087">
            <w:pPr>
              <w:jc w:val="both"/>
              <w:rPr>
                <w:rFonts w:cs="Arial"/>
              </w:rPr>
            </w:pPr>
          </w:p>
        </w:tc>
      </w:tr>
      <w:tr w:rsidR="00BE69CE" w:rsidRPr="00EA7AEA" w:rsidTr="0017560E">
        <w:tc>
          <w:tcPr>
            <w:tcW w:w="3369" w:type="dxa"/>
            <w:shd w:val="clear" w:color="auto" w:fill="B8CCE4" w:themeFill="accent1" w:themeFillTint="66"/>
          </w:tcPr>
          <w:p w:rsidR="00E20087" w:rsidRPr="00EA7AEA" w:rsidRDefault="00E20087" w:rsidP="0017560E">
            <w:pPr>
              <w:spacing w:before="60" w:after="60"/>
              <w:rPr>
                <w:rFonts w:cs="Arial"/>
                <w:b/>
                <w:sz w:val="20"/>
                <w:szCs w:val="20"/>
              </w:rPr>
            </w:pPr>
            <w:r w:rsidRPr="00EA7AEA">
              <w:rPr>
                <w:rFonts w:cs="Arial"/>
                <w:b/>
                <w:sz w:val="20"/>
                <w:szCs w:val="20"/>
              </w:rPr>
              <w:t>Address:</w:t>
            </w:r>
          </w:p>
        </w:tc>
        <w:tc>
          <w:tcPr>
            <w:tcW w:w="5873" w:type="dxa"/>
          </w:tcPr>
          <w:p w:rsidR="00E20087" w:rsidRPr="00EA7AEA" w:rsidRDefault="00E20087" w:rsidP="00E20087">
            <w:pPr>
              <w:jc w:val="both"/>
              <w:rPr>
                <w:rFonts w:cs="Arial"/>
              </w:rPr>
            </w:pPr>
          </w:p>
          <w:p w:rsidR="0017560E" w:rsidRPr="00EA7AEA" w:rsidRDefault="0017560E" w:rsidP="00E20087">
            <w:pPr>
              <w:jc w:val="both"/>
              <w:rPr>
                <w:rFonts w:cs="Arial"/>
              </w:rPr>
            </w:pPr>
          </w:p>
          <w:p w:rsidR="0017560E" w:rsidRPr="00EA7AEA" w:rsidRDefault="0017560E" w:rsidP="00E20087">
            <w:pPr>
              <w:jc w:val="both"/>
              <w:rPr>
                <w:rFonts w:cs="Arial"/>
              </w:rPr>
            </w:pPr>
          </w:p>
        </w:tc>
      </w:tr>
      <w:tr w:rsidR="00BE69CE" w:rsidRPr="00EA7AEA" w:rsidTr="0017560E">
        <w:tc>
          <w:tcPr>
            <w:tcW w:w="3369" w:type="dxa"/>
            <w:shd w:val="clear" w:color="auto" w:fill="B8CCE4" w:themeFill="accent1" w:themeFillTint="66"/>
            <w:vAlign w:val="center"/>
          </w:tcPr>
          <w:p w:rsidR="00E20087" w:rsidRPr="00EA7AEA" w:rsidRDefault="00E20087" w:rsidP="0017560E">
            <w:pPr>
              <w:spacing w:before="60" w:after="60"/>
              <w:rPr>
                <w:rFonts w:cs="Arial"/>
                <w:b/>
                <w:sz w:val="20"/>
                <w:szCs w:val="20"/>
              </w:rPr>
            </w:pPr>
            <w:r w:rsidRPr="00EA7AEA">
              <w:rPr>
                <w:rFonts w:cs="Arial"/>
                <w:b/>
                <w:sz w:val="20"/>
                <w:szCs w:val="20"/>
              </w:rPr>
              <w:t>Telephone Number:</w:t>
            </w:r>
          </w:p>
        </w:tc>
        <w:tc>
          <w:tcPr>
            <w:tcW w:w="5873" w:type="dxa"/>
          </w:tcPr>
          <w:p w:rsidR="00E20087" w:rsidRPr="00EA7AEA" w:rsidRDefault="00E20087" w:rsidP="00E20087">
            <w:pPr>
              <w:jc w:val="both"/>
              <w:rPr>
                <w:rFonts w:cs="Arial"/>
              </w:rPr>
            </w:pPr>
          </w:p>
        </w:tc>
      </w:tr>
      <w:tr w:rsidR="00BE69CE" w:rsidRPr="00EA7AEA" w:rsidTr="0017560E">
        <w:tc>
          <w:tcPr>
            <w:tcW w:w="3369" w:type="dxa"/>
            <w:shd w:val="clear" w:color="auto" w:fill="B8CCE4" w:themeFill="accent1" w:themeFillTint="66"/>
            <w:vAlign w:val="center"/>
          </w:tcPr>
          <w:p w:rsidR="00E20087" w:rsidRPr="00EA7AEA" w:rsidRDefault="00E20087" w:rsidP="0017560E">
            <w:pPr>
              <w:rPr>
                <w:rFonts w:cs="Arial"/>
                <w:b/>
                <w:sz w:val="20"/>
                <w:szCs w:val="20"/>
              </w:rPr>
            </w:pPr>
            <w:r w:rsidRPr="00EA7AEA">
              <w:rPr>
                <w:rFonts w:cs="Arial"/>
                <w:b/>
                <w:sz w:val="20"/>
                <w:szCs w:val="20"/>
              </w:rPr>
              <w:t>Email Address:</w:t>
            </w:r>
          </w:p>
        </w:tc>
        <w:tc>
          <w:tcPr>
            <w:tcW w:w="5873" w:type="dxa"/>
          </w:tcPr>
          <w:p w:rsidR="00E20087" w:rsidRPr="00EA7AEA" w:rsidRDefault="00E20087" w:rsidP="00E20087">
            <w:pPr>
              <w:jc w:val="both"/>
              <w:rPr>
                <w:rFonts w:cs="Arial"/>
              </w:rPr>
            </w:pPr>
          </w:p>
          <w:p w:rsidR="00E20087" w:rsidRPr="00EA7AEA" w:rsidRDefault="00E20087" w:rsidP="00E20087">
            <w:pPr>
              <w:jc w:val="both"/>
              <w:rPr>
                <w:rFonts w:cs="Arial"/>
              </w:rPr>
            </w:pPr>
          </w:p>
        </w:tc>
      </w:tr>
      <w:tr w:rsidR="00BE69CE" w:rsidRPr="00EA7AEA" w:rsidTr="0017560E">
        <w:tc>
          <w:tcPr>
            <w:tcW w:w="3369" w:type="dxa"/>
            <w:shd w:val="clear" w:color="auto" w:fill="B8CCE4" w:themeFill="accent1" w:themeFillTint="66"/>
            <w:vAlign w:val="center"/>
          </w:tcPr>
          <w:p w:rsidR="00E20087" w:rsidRPr="00EA7AEA" w:rsidRDefault="00E20087" w:rsidP="0017560E">
            <w:pPr>
              <w:rPr>
                <w:rFonts w:cs="Arial"/>
                <w:b/>
                <w:sz w:val="20"/>
                <w:szCs w:val="20"/>
              </w:rPr>
            </w:pPr>
            <w:r w:rsidRPr="00EA7AEA">
              <w:rPr>
                <w:rFonts w:cs="Arial"/>
                <w:b/>
                <w:sz w:val="20"/>
                <w:szCs w:val="20"/>
              </w:rPr>
              <w:t>Date:</w:t>
            </w:r>
          </w:p>
        </w:tc>
        <w:tc>
          <w:tcPr>
            <w:tcW w:w="5873" w:type="dxa"/>
          </w:tcPr>
          <w:p w:rsidR="00E20087" w:rsidRPr="00EA7AEA" w:rsidRDefault="00E20087" w:rsidP="00E20087">
            <w:pPr>
              <w:jc w:val="both"/>
              <w:rPr>
                <w:rFonts w:cs="Arial"/>
              </w:rPr>
            </w:pPr>
          </w:p>
          <w:p w:rsidR="00E20087" w:rsidRPr="00EA7AEA" w:rsidRDefault="00E20087" w:rsidP="00E20087">
            <w:pPr>
              <w:jc w:val="both"/>
              <w:rPr>
                <w:rFonts w:cs="Arial"/>
              </w:rPr>
            </w:pPr>
          </w:p>
        </w:tc>
      </w:tr>
      <w:tr w:rsidR="00BE69CE" w:rsidRPr="00EA7AEA" w:rsidTr="0017560E">
        <w:tc>
          <w:tcPr>
            <w:tcW w:w="3369" w:type="dxa"/>
            <w:shd w:val="clear" w:color="auto" w:fill="B8CCE4" w:themeFill="accent1" w:themeFillTint="66"/>
            <w:vAlign w:val="center"/>
          </w:tcPr>
          <w:p w:rsidR="00E20087" w:rsidRPr="00EA7AEA" w:rsidRDefault="00E20087" w:rsidP="00E20087">
            <w:pPr>
              <w:rPr>
                <w:rFonts w:cs="Arial"/>
                <w:b/>
                <w:sz w:val="20"/>
                <w:szCs w:val="20"/>
              </w:rPr>
            </w:pPr>
          </w:p>
          <w:p w:rsidR="00E20087" w:rsidRPr="00EA7AEA" w:rsidRDefault="00E20087" w:rsidP="00E20087">
            <w:pPr>
              <w:rPr>
                <w:rFonts w:cs="Arial"/>
                <w:b/>
                <w:sz w:val="20"/>
                <w:szCs w:val="20"/>
              </w:rPr>
            </w:pPr>
            <w:r w:rsidRPr="00EA7AEA">
              <w:rPr>
                <w:rFonts w:cs="Arial"/>
                <w:b/>
                <w:sz w:val="20"/>
                <w:szCs w:val="20"/>
              </w:rPr>
              <w:t>Name and title of the person(s) authorised to represent the complainant:</w:t>
            </w:r>
          </w:p>
          <w:p w:rsidR="00E20087" w:rsidRPr="00EA7AEA" w:rsidRDefault="00E20087" w:rsidP="00E20087">
            <w:pPr>
              <w:rPr>
                <w:rFonts w:cs="Arial"/>
                <w:b/>
                <w:sz w:val="20"/>
                <w:szCs w:val="20"/>
              </w:rPr>
            </w:pPr>
          </w:p>
        </w:tc>
        <w:tc>
          <w:tcPr>
            <w:tcW w:w="5873" w:type="dxa"/>
          </w:tcPr>
          <w:p w:rsidR="00E20087" w:rsidRPr="00EA7AEA" w:rsidRDefault="00E20087" w:rsidP="00E20087">
            <w:pPr>
              <w:jc w:val="both"/>
              <w:rPr>
                <w:rFonts w:cs="Arial"/>
              </w:rPr>
            </w:pPr>
          </w:p>
        </w:tc>
      </w:tr>
    </w:tbl>
    <w:p w:rsidR="0017560E" w:rsidRPr="00EA7AEA" w:rsidRDefault="0017560E" w:rsidP="00E20087">
      <w:pPr>
        <w:jc w:val="both"/>
        <w:rPr>
          <w:rFonts w:cs="Arial"/>
        </w:rPr>
      </w:pPr>
    </w:p>
    <w:p w:rsidR="00E20087" w:rsidRPr="00EA7AEA" w:rsidRDefault="00E20087" w:rsidP="003A4281">
      <w:pPr>
        <w:ind w:left="709" w:hanging="709"/>
        <w:jc w:val="both"/>
        <w:rPr>
          <w:rFonts w:cs="Arial"/>
          <w:u w:val="single"/>
        </w:rPr>
      </w:pPr>
      <w:r w:rsidRPr="00EA7AEA">
        <w:rPr>
          <w:rFonts w:cs="Arial"/>
        </w:rPr>
        <w:t>2.</w:t>
      </w:r>
      <w:r w:rsidRPr="00EA7AEA">
        <w:rPr>
          <w:rFonts w:cs="Arial"/>
        </w:rPr>
        <w:tab/>
      </w:r>
      <w:r w:rsidRPr="00EA7AEA">
        <w:rPr>
          <w:rFonts w:cs="Arial"/>
          <w:u w:val="single"/>
        </w:rPr>
        <w:t>Acceptance Criteria:</w:t>
      </w:r>
    </w:p>
    <w:p w:rsidR="0017560E" w:rsidRPr="00EA7AEA" w:rsidRDefault="0017560E" w:rsidP="00E20087">
      <w:pPr>
        <w:jc w:val="both"/>
        <w:rPr>
          <w:rFonts w:cs="Arial"/>
        </w:rPr>
      </w:pPr>
    </w:p>
    <w:tbl>
      <w:tblPr>
        <w:tblStyle w:val="TableGrid"/>
        <w:tblW w:w="0" w:type="auto"/>
        <w:tblLook w:val="01E0" w:firstRow="1" w:lastRow="1" w:firstColumn="1" w:lastColumn="1" w:noHBand="0" w:noVBand="0"/>
      </w:tblPr>
      <w:tblGrid>
        <w:gridCol w:w="9242"/>
      </w:tblGrid>
      <w:tr w:rsidR="00BE69CE" w:rsidRPr="00EA7AEA" w:rsidTr="00E20087">
        <w:tc>
          <w:tcPr>
            <w:tcW w:w="9242" w:type="dxa"/>
            <w:shd w:val="clear" w:color="auto" w:fill="B8CCE4" w:themeFill="accent1" w:themeFillTint="66"/>
          </w:tcPr>
          <w:p w:rsidR="00E20087" w:rsidRPr="00EA7AEA" w:rsidRDefault="00E20087" w:rsidP="0017560E">
            <w:pPr>
              <w:spacing w:before="60" w:after="60"/>
              <w:jc w:val="both"/>
              <w:rPr>
                <w:rFonts w:cs="Arial"/>
              </w:rPr>
            </w:pPr>
            <w:r w:rsidRPr="00EA7AEA">
              <w:rPr>
                <w:rFonts w:cs="Arial"/>
                <w:b/>
                <w:sz w:val="20"/>
                <w:szCs w:val="20"/>
              </w:rPr>
              <w:t>Evidence that each of the acceptance criteria has been met:</w:t>
            </w:r>
          </w:p>
        </w:tc>
      </w:tr>
      <w:tr w:rsidR="00BE69CE" w:rsidRPr="00EA7AEA" w:rsidTr="00E20087">
        <w:tc>
          <w:tcPr>
            <w:tcW w:w="9242" w:type="dxa"/>
          </w:tcPr>
          <w:p w:rsidR="00E20087" w:rsidRPr="00EA7AEA" w:rsidRDefault="00E20087" w:rsidP="00E20087">
            <w:pPr>
              <w:jc w:val="both"/>
              <w:rPr>
                <w:rFonts w:cs="Arial"/>
              </w:rPr>
            </w:pPr>
          </w:p>
          <w:p w:rsidR="00E20087" w:rsidRPr="00EA7AEA" w:rsidRDefault="00E20087" w:rsidP="00E20087">
            <w:pPr>
              <w:jc w:val="both"/>
              <w:rPr>
                <w:rFonts w:cs="Arial"/>
                <w:i/>
                <w:sz w:val="20"/>
                <w:szCs w:val="20"/>
                <w:u w:val="single"/>
              </w:rPr>
            </w:pPr>
            <w:r w:rsidRPr="00EA7AEA">
              <w:rPr>
                <w:rFonts w:cs="Arial"/>
                <w:i/>
                <w:sz w:val="20"/>
                <w:szCs w:val="20"/>
                <w:u w:val="single"/>
              </w:rPr>
              <w:t>Acceptance Criteria 1:</w:t>
            </w:r>
          </w:p>
          <w:p w:rsidR="00E20087" w:rsidRPr="00EA7AEA" w:rsidRDefault="00E20087" w:rsidP="00E20087">
            <w:pPr>
              <w:jc w:val="both"/>
              <w:rPr>
                <w:rFonts w:cs="Arial"/>
                <w:i/>
                <w:sz w:val="20"/>
                <w:szCs w:val="20"/>
                <w:u w:val="single"/>
              </w:rPr>
            </w:pPr>
          </w:p>
          <w:p w:rsidR="00E20087" w:rsidRPr="00EA7AEA" w:rsidRDefault="00E20087" w:rsidP="00E20087">
            <w:pPr>
              <w:jc w:val="both"/>
              <w:rPr>
                <w:rFonts w:cs="Arial"/>
                <w:i/>
                <w:sz w:val="20"/>
                <w:szCs w:val="20"/>
                <w:u w:val="single"/>
              </w:rPr>
            </w:pPr>
            <w:r w:rsidRPr="00EA7AEA">
              <w:rPr>
                <w:rFonts w:cs="Arial"/>
                <w:i/>
                <w:sz w:val="20"/>
                <w:szCs w:val="20"/>
              </w:rPr>
              <w:t xml:space="preserve">The content of the dispute is covered by the Principles and </w:t>
            </w:r>
            <w:r w:rsidR="00D110DF" w:rsidRPr="00EA7AEA">
              <w:rPr>
                <w:rFonts w:cs="Arial"/>
                <w:i/>
                <w:sz w:val="20"/>
                <w:szCs w:val="20"/>
              </w:rPr>
              <w:t>R</w:t>
            </w:r>
            <w:r w:rsidRPr="00EA7AEA">
              <w:rPr>
                <w:rFonts w:cs="Arial"/>
                <w:i/>
                <w:sz w:val="20"/>
                <w:szCs w:val="20"/>
              </w:rPr>
              <w:t>ules of Cooperation and Competition and no legal proceedings have commenced.</w:t>
            </w:r>
          </w:p>
          <w:p w:rsidR="00E20087" w:rsidRPr="00EA7AEA" w:rsidRDefault="00E20087" w:rsidP="00E20087">
            <w:pPr>
              <w:jc w:val="both"/>
              <w:rPr>
                <w:rFonts w:cs="Arial"/>
                <w:sz w:val="20"/>
                <w:szCs w:val="20"/>
              </w:rPr>
            </w:pPr>
          </w:p>
          <w:p w:rsidR="00E20087" w:rsidRPr="00EA7AEA" w:rsidRDefault="00E20087" w:rsidP="00E20087">
            <w:pPr>
              <w:jc w:val="both"/>
              <w:rPr>
                <w:rFonts w:cs="Arial"/>
                <w:sz w:val="20"/>
                <w:szCs w:val="20"/>
                <w:u w:val="single"/>
              </w:rPr>
            </w:pPr>
            <w:r w:rsidRPr="00EA7AEA">
              <w:rPr>
                <w:rFonts w:cs="Arial"/>
                <w:sz w:val="20"/>
                <w:szCs w:val="20"/>
                <w:u w:val="single"/>
              </w:rPr>
              <w:t>Evidence 1:</w:t>
            </w:r>
          </w:p>
          <w:p w:rsidR="00057C99" w:rsidRPr="00EA7AEA" w:rsidRDefault="00057C99" w:rsidP="00E20087">
            <w:pPr>
              <w:ind w:left="1080" w:hanging="1080"/>
              <w:jc w:val="both"/>
              <w:rPr>
                <w:rFonts w:cs="Arial"/>
                <w:sz w:val="20"/>
                <w:szCs w:val="20"/>
              </w:rPr>
            </w:pPr>
          </w:p>
          <w:p w:rsidR="00E20087" w:rsidRPr="00EA7AEA" w:rsidRDefault="00E20087" w:rsidP="00E20087">
            <w:pPr>
              <w:jc w:val="both"/>
              <w:rPr>
                <w:rFonts w:cs="Arial"/>
              </w:rPr>
            </w:pPr>
          </w:p>
          <w:p w:rsidR="00057C99" w:rsidRPr="00EA7AEA" w:rsidRDefault="00057C99" w:rsidP="00E20087">
            <w:pPr>
              <w:jc w:val="both"/>
              <w:rPr>
                <w:rFonts w:cs="Arial"/>
              </w:rPr>
            </w:pPr>
          </w:p>
        </w:tc>
      </w:tr>
      <w:tr w:rsidR="00BE69CE" w:rsidRPr="00EA7AEA" w:rsidTr="00E20087">
        <w:tc>
          <w:tcPr>
            <w:tcW w:w="9242" w:type="dxa"/>
          </w:tcPr>
          <w:p w:rsidR="00E20087" w:rsidRPr="00EA7AEA" w:rsidRDefault="00E20087" w:rsidP="00E20087">
            <w:pPr>
              <w:jc w:val="both"/>
              <w:rPr>
                <w:rFonts w:cs="Arial"/>
                <w:sz w:val="20"/>
                <w:szCs w:val="20"/>
                <w:u w:val="single"/>
              </w:rPr>
            </w:pPr>
          </w:p>
          <w:p w:rsidR="00E20087" w:rsidRPr="00EA7AEA" w:rsidRDefault="00E20087" w:rsidP="00E20087">
            <w:pPr>
              <w:jc w:val="both"/>
              <w:rPr>
                <w:rFonts w:cs="Arial"/>
                <w:i/>
                <w:sz w:val="20"/>
                <w:szCs w:val="20"/>
              </w:rPr>
            </w:pPr>
            <w:r w:rsidRPr="00EA7AEA">
              <w:rPr>
                <w:rFonts w:cs="Arial"/>
                <w:i/>
                <w:sz w:val="20"/>
                <w:szCs w:val="20"/>
                <w:u w:val="single"/>
              </w:rPr>
              <w:t>Acceptance Criteria 2:</w:t>
            </w:r>
          </w:p>
          <w:p w:rsidR="00E20087" w:rsidRPr="00EA7AEA" w:rsidRDefault="00E20087" w:rsidP="00E20087">
            <w:pPr>
              <w:jc w:val="both"/>
              <w:rPr>
                <w:rFonts w:cs="Arial"/>
                <w:i/>
                <w:sz w:val="20"/>
                <w:szCs w:val="20"/>
              </w:rPr>
            </w:pPr>
          </w:p>
          <w:p w:rsidR="00E20087" w:rsidRPr="00EA7AEA" w:rsidRDefault="00E20087" w:rsidP="00E20087">
            <w:pPr>
              <w:jc w:val="both"/>
              <w:rPr>
                <w:rFonts w:cs="Arial"/>
                <w:i/>
                <w:sz w:val="20"/>
                <w:szCs w:val="20"/>
              </w:rPr>
            </w:pPr>
            <w:r w:rsidRPr="00EA7AEA">
              <w:rPr>
                <w:rFonts w:cs="Arial"/>
                <w:i/>
                <w:sz w:val="20"/>
                <w:szCs w:val="20"/>
              </w:rPr>
              <w:t xml:space="preserve">There is complete disclosure of all relevant and applicable information.  Any individuals connected to the complaint are available to provide further evidence or testimony and the </w:t>
            </w:r>
            <w:r w:rsidR="00E2105F" w:rsidRPr="00EA7AEA">
              <w:rPr>
                <w:rFonts w:cs="Arial"/>
                <w:i/>
                <w:sz w:val="20"/>
                <w:szCs w:val="20"/>
              </w:rPr>
              <w:t>G</w:t>
            </w:r>
            <w:r w:rsidR="00D110DF" w:rsidRPr="00EA7AEA">
              <w:rPr>
                <w:rFonts w:cs="Arial"/>
                <w:i/>
                <w:sz w:val="20"/>
                <w:szCs w:val="20"/>
              </w:rPr>
              <w:t>CCG</w:t>
            </w:r>
            <w:r w:rsidRPr="00EA7AEA">
              <w:rPr>
                <w:rFonts w:cs="Arial"/>
                <w:i/>
                <w:sz w:val="20"/>
                <w:szCs w:val="20"/>
              </w:rPr>
              <w:t xml:space="preserve"> is not precluded from requesting more detailed information to make an informed decision.</w:t>
            </w:r>
          </w:p>
          <w:p w:rsidR="00E20087" w:rsidRPr="00EA7AEA" w:rsidRDefault="00E20087" w:rsidP="00E20087">
            <w:pPr>
              <w:jc w:val="both"/>
              <w:rPr>
                <w:rFonts w:cs="Arial"/>
                <w:sz w:val="20"/>
                <w:szCs w:val="20"/>
              </w:rPr>
            </w:pPr>
          </w:p>
          <w:p w:rsidR="00E20087" w:rsidRPr="00EA7AEA" w:rsidRDefault="00E20087" w:rsidP="00E20087">
            <w:pPr>
              <w:jc w:val="both"/>
              <w:rPr>
                <w:rFonts w:cs="Arial"/>
                <w:sz w:val="20"/>
                <w:szCs w:val="20"/>
                <w:u w:val="single"/>
              </w:rPr>
            </w:pPr>
            <w:r w:rsidRPr="00EA7AEA">
              <w:rPr>
                <w:rFonts w:cs="Arial"/>
                <w:sz w:val="20"/>
                <w:szCs w:val="20"/>
                <w:u w:val="single"/>
              </w:rPr>
              <w:t>Evidence 2:</w:t>
            </w:r>
          </w:p>
          <w:p w:rsidR="00E20087" w:rsidRPr="00EA7AEA" w:rsidRDefault="00E20087" w:rsidP="00E20087">
            <w:pPr>
              <w:jc w:val="both"/>
              <w:rPr>
                <w:rFonts w:cs="Arial"/>
              </w:rPr>
            </w:pPr>
          </w:p>
          <w:p w:rsidR="00E20087" w:rsidRPr="00EA7AEA" w:rsidRDefault="00E20087" w:rsidP="00E20087">
            <w:pPr>
              <w:jc w:val="both"/>
              <w:rPr>
                <w:rFonts w:cs="Arial"/>
              </w:rPr>
            </w:pPr>
          </w:p>
          <w:p w:rsidR="0017560E" w:rsidRPr="00EA7AEA" w:rsidRDefault="0017560E" w:rsidP="00E20087">
            <w:pPr>
              <w:jc w:val="both"/>
              <w:rPr>
                <w:rFonts w:cs="Arial"/>
              </w:rPr>
            </w:pPr>
          </w:p>
        </w:tc>
      </w:tr>
      <w:tr w:rsidR="00BE69CE" w:rsidRPr="00EA7AEA" w:rsidTr="00E20087">
        <w:tc>
          <w:tcPr>
            <w:tcW w:w="9242" w:type="dxa"/>
          </w:tcPr>
          <w:p w:rsidR="00E20087" w:rsidRPr="00EA7AEA" w:rsidRDefault="00E20087" w:rsidP="00E20087">
            <w:pPr>
              <w:jc w:val="both"/>
              <w:rPr>
                <w:rFonts w:cs="Arial"/>
                <w:sz w:val="20"/>
                <w:szCs w:val="20"/>
                <w:u w:val="single"/>
              </w:rPr>
            </w:pPr>
          </w:p>
          <w:p w:rsidR="00E20087" w:rsidRPr="00EA7AEA" w:rsidRDefault="00E20087" w:rsidP="00E20087">
            <w:pPr>
              <w:jc w:val="both"/>
              <w:rPr>
                <w:rFonts w:cs="Arial"/>
                <w:i/>
                <w:sz w:val="20"/>
                <w:szCs w:val="20"/>
                <w:u w:val="single"/>
              </w:rPr>
            </w:pPr>
            <w:r w:rsidRPr="00EA7AEA">
              <w:rPr>
                <w:rFonts w:cs="Arial"/>
                <w:i/>
                <w:sz w:val="20"/>
                <w:szCs w:val="20"/>
                <w:u w:val="single"/>
              </w:rPr>
              <w:t>Acceptance Criteria 3:</w:t>
            </w:r>
          </w:p>
          <w:p w:rsidR="00E20087" w:rsidRPr="00EA7AEA" w:rsidRDefault="00E20087" w:rsidP="00E20087">
            <w:pPr>
              <w:jc w:val="both"/>
              <w:rPr>
                <w:rFonts w:cs="Arial"/>
                <w:i/>
                <w:sz w:val="20"/>
                <w:szCs w:val="20"/>
                <w:u w:val="single"/>
              </w:rPr>
            </w:pPr>
          </w:p>
          <w:p w:rsidR="00E20087" w:rsidRPr="00EA7AEA" w:rsidRDefault="00E20087" w:rsidP="00E20087">
            <w:pPr>
              <w:jc w:val="both"/>
              <w:rPr>
                <w:rFonts w:cs="Arial"/>
                <w:i/>
                <w:sz w:val="20"/>
                <w:szCs w:val="20"/>
                <w:u w:val="single"/>
              </w:rPr>
            </w:pPr>
            <w:r w:rsidRPr="00EA7AEA">
              <w:rPr>
                <w:rFonts w:cs="Arial"/>
                <w:i/>
                <w:sz w:val="20"/>
                <w:szCs w:val="20"/>
              </w:rPr>
              <w:t>To provide confidence to parties that the process is fair and transparent, enhancing willingness to participate in the market.</w:t>
            </w:r>
          </w:p>
          <w:p w:rsidR="00E20087" w:rsidRPr="00EA7AEA" w:rsidRDefault="00E20087" w:rsidP="00E20087">
            <w:pPr>
              <w:ind w:left="1080" w:hanging="1080"/>
              <w:jc w:val="both"/>
              <w:rPr>
                <w:rFonts w:cs="Arial"/>
                <w:sz w:val="20"/>
                <w:szCs w:val="20"/>
              </w:rPr>
            </w:pPr>
          </w:p>
          <w:p w:rsidR="00E20087" w:rsidRPr="00EA7AEA" w:rsidRDefault="00E20087" w:rsidP="00E20087">
            <w:pPr>
              <w:ind w:left="1080" w:hanging="1080"/>
              <w:jc w:val="both"/>
              <w:rPr>
                <w:rFonts w:cs="Arial"/>
                <w:sz w:val="20"/>
                <w:szCs w:val="20"/>
                <w:u w:val="single"/>
              </w:rPr>
            </w:pPr>
            <w:r w:rsidRPr="00EA7AEA">
              <w:rPr>
                <w:rFonts w:cs="Arial"/>
                <w:sz w:val="20"/>
                <w:szCs w:val="20"/>
                <w:u w:val="single"/>
              </w:rPr>
              <w:t>Evidence 3:</w:t>
            </w:r>
          </w:p>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p w:rsidR="0017560E" w:rsidRPr="00EA7AEA" w:rsidRDefault="0017560E" w:rsidP="00E20087">
            <w:pPr>
              <w:jc w:val="both"/>
              <w:rPr>
                <w:rFonts w:cs="Arial"/>
              </w:rPr>
            </w:pPr>
          </w:p>
        </w:tc>
      </w:tr>
      <w:tr w:rsidR="00BE69CE" w:rsidRPr="00EA7AEA" w:rsidTr="00E20087">
        <w:tc>
          <w:tcPr>
            <w:tcW w:w="9242" w:type="dxa"/>
          </w:tcPr>
          <w:p w:rsidR="00E20087" w:rsidRPr="00EA7AEA" w:rsidRDefault="00E20087" w:rsidP="00E20087">
            <w:pPr>
              <w:ind w:left="1080" w:hanging="1080"/>
              <w:jc w:val="both"/>
              <w:rPr>
                <w:rFonts w:cs="Arial"/>
                <w:sz w:val="20"/>
                <w:szCs w:val="20"/>
                <w:u w:val="single"/>
              </w:rPr>
            </w:pPr>
          </w:p>
          <w:p w:rsidR="00E20087" w:rsidRPr="00EA7AEA" w:rsidRDefault="00E20087" w:rsidP="00E20087">
            <w:pPr>
              <w:ind w:left="1080" w:hanging="1080"/>
              <w:jc w:val="both"/>
              <w:rPr>
                <w:rFonts w:cs="Arial"/>
                <w:i/>
                <w:sz w:val="20"/>
                <w:szCs w:val="20"/>
                <w:u w:val="single"/>
              </w:rPr>
            </w:pPr>
            <w:r w:rsidRPr="00EA7AEA">
              <w:rPr>
                <w:rFonts w:cs="Arial"/>
                <w:i/>
                <w:sz w:val="20"/>
                <w:szCs w:val="20"/>
                <w:u w:val="single"/>
              </w:rPr>
              <w:t>Acceptance Criteria 4:</w:t>
            </w:r>
          </w:p>
          <w:p w:rsidR="00E20087" w:rsidRPr="00EA7AEA" w:rsidRDefault="00E20087" w:rsidP="00E20087">
            <w:pPr>
              <w:ind w:left="1080" w:hanging="1080"/>
              <w:jc w:val="both"/>
              <w:rPr>
                <w:rFonts w:cs="Arial"/>
                <w:i/>
                <w:sz w:val="20"/>
                <w:szCs w:val="20"/>
              </w:rPr>
            </w:pPr>
          </w:p>
          <w:p w:rsidR="00E20087" w:rsidRPr="00EA7AEA" w:rsidRDefault="00D110DF" w:rsidP="00E20087">
            <w:pPr>
              <w:ind w:left="1080" w:hanging="1080"/>
              <w:jc w:val="both"/>
              <w:rPr>
                <w:rFonts w:cs="Arial"/>
                <w:i/>
                <w:sz w:val="20"/>
                <w:szCs w:val="20"/>
              </w:rPr>
            </w:pPr>
            <w:r w:rsidRPr="00EA7AEA">
              <w:rPr>
                <w:rFonts w:cs="Arial"/>
                <w:i/>
                <w:sz w:val="20"/>
                <w:szCs w:val="20"/>
              </w:rPr>
              <w:t xml:space="preserve">The </w:t>
            </w:r>
            <w:r w:rsidR="00E2105F" w:rsidRPr="00EA7AEA">
              <w:rPr>
                <w:rFonts w:cs="Arial"/>
                <w:i/>
                <w:sz w:val="20"/>
                <w:szCs w:val="20"/>
              </w:rPr>
              <w:t>G</w:t>
            </w:r>
            <w:r w:rsidRPr="00EA7AEA">
              <w:rPr>
                <w:rFonts w:cs="Arial"/>
                <w:i/>
                <w:sz w:val="20"/>
                <w:szCs w:val="20"/>
              </w:rPr>
              <w:t>CCG</w:t>
            </w:r>
            <w:r w:rsidR="00E20087" w:rsidRPr="00EA7AEA">
              <w:rPr>
                <w:rFonts w:cs="Arial"/>
                <w:i/>
                <w:sz w:val="20"/>
                <w:szCs w:val="20"/>
              </w:rPr>
              <w:t xml:space="preserve"> is the commissioner or lead commissioner for the service in question.</w:t>
            </w:r>
          </w:p>
          <w:p w:rsidR="00E20087" w:rsidRPr="00EA7AEA" w:rsidRDefault="00E20087" w:rsidP="00E20087">
            <w:pPr>
              <w:ind w:left="1080" w:hanging="1080"/>
              <w:jc w:val="both"/>
              <w:rPr>
                <w:rFonts w:cs="Arial"/>
                <w:sz w:val="20"/>
                <w:szCs w:val="20"/>
              </w:rPr>
            </w:pPr>
          </w:p>
          <w:p w:rsidR="00E20087" w:rsidRPr="00EA7AEA" w:rsidRDefault="00E20087" w:rsidP="00E20087">
            <w:pPr>
              <w:ind w:left="1080" w:hanging="1080"/>
              <w:jc w:val="both"/>
              <w:rPr>
                <w:rFonts w:cs="Arial"/>
                <w:sz w:val="20"/>
                <w:szCs w:val="20"/>
                <w:u w:val="single"/>
              </w:rPr>
            </w:pPr>
            <w:r w:rsidRPr="00EA7AEA">
              <w:rPr>
                <w:rFonts w:cs="Arial"/>
                <w:sz w:val="20"/>
                <w:szCs w:val="20"/>
                <w:u w:val="single"/>
              </w:rPr>
              <w:t>Evidence 4:</w:t>
            </w:r>
          </w:p>
          <w:p w:rsidR="00E20087" w:rsidRPr="00EA7AEA" w:rsidRDefault="00E20087" w:rsidP="00E20087">
            <w:pPr>
              <w:jc w:val="both"/>
              <w:rPr>
                <w:rFonts w:cs="Arial"/>
              </w:rPr>
            </w:pPr>
          </w:p>
          <w:p w:rsidR="00E20087" w:rsidRPr="00EA7AEA" w:rsidRDefault="00E20087" w:rsidP="00E20087">
            <w:pPr>
              <w:jc w:val="both"/>
              <w:rPr>
                <w:rFonts w:cs="Arial"/>
              </w:rPr>
            </w:pPr>
          </w:p>
          <w:p w:rsidR="0017560E" w:rsidRPr="00EA7AEA" w:rsidRDefault="0017560E" w:rsidP="00E20087">
            <w:pPr>
              <w:jc w:val="both"/>
              <w:rPr>
                <w:rFonts w:cs="Arial"/>
              </w:rPr>
            </w:pPr>
          </w:p>
        </w:tc>
      </w:tr>
      <w:tr w:rsidR="00BE69CE" w:rsidRPr="00EA7AEA" w:rsidTr="00E20087">
        <w:tc>
          <w:tcPr>
            <w:tcW w:w="9242" w:type="dxa"/>
          </w:tcPr>
          <w:p w:rsidR="00E20087" w:rsidRPr="00EA7AEA" w:rsidRDefault="00E20087" w:rsidP="00E20087">
            <w:pPr>
              <w:ind w:left="1080" w:hanging="1080"/>
              <w:jc w:val="both"/>
              <w:rPr>
                <w:rFonts w:cs="Arial"/>
                <w:sz w:val="20"/>
                <w:szCs w:val="20"/>
                <w:u w:val="single"/>
              </w:rPr>
            </w:pPr>
          </w:p>
          <w:p w:rsidR="00E20087" w:rsidRPr="00EA7AEA" w:rsidRDefault="00E20087" w:rsidP="00E20087">
            <w:pPr>
              <w:ind w:left="1080" w:hanging="1080"/>
              <w:jc w:val="both"/>
              <w:rPr>
                <w:rFonts w:cs="Arial"/>
                <w:i/>
                <w:sz w:val="20"/>
                <w:szCs w:val="20"/>
                <w:u w:val="single"/>
              </w:rPr>
            </w:pPr>
            <w:r w:rsidRPr="00EA7AEA">
              <w:rPr>
                <w:rFonts w:cs="Arial"/>
                <w:i/>
                <w:sz w:val="20"/>
                <w:szCs w:val="20"/>
                <w:u w:val="single"/>
              </w:rPr>
              <w:t>Acceptance Criteria 5:</w:t>
            </w:r>
          </w:p>
          <w:p w:rsidR="00E20087" w:rsidRPr="00EA7AEA" w:rsidRDefault="00E20087" w:rsidP="00E20087">
            <w:pPr>
              <w:ind w:left="1080" w:hanging="1080"/>
              <w:jc w:val="both"/>
              <w:rPr>
                <w:rFonts w:cs="Arial"/>
                <w:i/>
                <w:sz w:val="20"/>
                <w:szCs w:val="20"/>
              </w:rPr>
            </w:pPr>
          </w:p>
          <w:p w:rsidR="00E20087" w:rsidRPr="00EA7AEA" w:rsidRDefault="00E20087" w:rsidP="00E20087">
            <w:pPr>
              <w:ind w:left="1080" w:hanging="1080"/>
              <w:jc w:val="both"/>
              <w:rPr>
                <w:rFonts w:cs="Arial"/>
                <w:i/>
                <w:sz w:val="20"/>
                <w:szCs w:val="20"/>
              </w:rPr>
            </w:pPr>
            <w:r w:rsidRPr="00EA7AEA">
              <w:rPr>
                <w:rFonts w:cs="Arial"/>
                <w:i/>
                <w:sz w:val="20"/>
                <w:szCs w:val="20"/>
              </w:rPr>
              <w:t>The dispute is not trivial or vexatious</w:t>
            </w:r>
          </w:p>
          <w:p w:rsidR="00E20087" w:rsidRPr="00EA7AEA" w:rsidRDefault="00E20087" w:rsidP="00E20087">
            <w:pPr>
              <w:ind w:left="1080" w:hanging="1080"/>
              <w:jc w:val="both"/>
              <w:rPr>
                <w:rFonts w:cs="Arial"/>
                <w:sz w:val="20"/>
                <w:szCs w:val="20"/>
              </w:rPr>
            </w:pPr>
          </w:p>
          <w:p w:rsidR="00E20087" w:rsidRPr="00EA7AEA" w:rsidRDefault="00E20087" w:rsidP="00E20087">
            <w:pPr>
              <w:ind w:left="1080" w:hanging="1080"/>
              <w:jc w:val="both"/>
              <w:rPr>
                <w:rFonts w:cs="Arial"/>
                <w:sz w:val="20"/>
                <w:szCs w:val="20"/>
                <w:u w:val="single"/>
              </w:rPr>
            </w:pPr>
            <w:r w:rsidRPr="00EA7AEA">
              <w:rPr>
                <w:rFonts w:cs="Arial"/>
                <w:sz w:val="20"/>
                <w:szCs w:val="20"/>
                <w:u w:val="single"/>
              </w:rPr>
              <w:t>Evidence 5:</w:t>
            </w:r>
          </w:p>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tc>
      </w:tr>
      <w:tr w:rsidR="00BE69CE" w:rsidRPr="00EA7AEA" w:rsidTr="00E20087">
        <w:tc>
          <w:tcPr>
            <w:tcW w:w="9242" w:type="dxa"/>
          </w:tcPr>
          <w:p w:rsidR="00E20087" w:rsidRPr="00EA7AEA" w:rsidRDefault="00E20087" w:rsidP="00E20087">
            <w:pPr>
              <w:ind w:left="1080" w:hanging="1080"/>
              <w:jc w:val="both"/>
              <w:rPr>
                <w:rFonts w:cs="Arial"/>
                <w:sz w:val="20"/>
                <w:szCs w:val="20"/>
                <w:u w:val="single"/>
              </w:rPr>
            </w:pPr>
          </w:p>
          <w:p w:rsidR="00E20087" w:rsidRPr="00EA7AEA" w:rsidRDefault="00E20087" w:rsidP="00E20087">
            <w:pPr>
              <w:ind w:left="1080" w:hanging="1080"/>
              <w:jc w:val="both"/>
              <w:rPr>
                <w:rFonts w:cs="Arial"/>
                <w:i/>
                <w:sz w:val="20"/>
                <w:szCs w:val="20"/>
                <w:u w:val="single"/>
              </w:rPr>
            </w:pPr>
            <w:r w:rsidRPr="00EA7AEA">
              <w:rPr>
                <w:rFonts w:cs="Arial"/>
                <w:i/>
                <w:sz w:val="20"/>
                <w:szCs w:val="20"/>
                <w:u w:val="single"/>
              </w:rPr>
              <w:t>Acceptance Criteria 6:</w:t>
            </w:r>
          </w:p>
          <w:p w:rsidR="00E20087" w:rsidRPr="00EA7AEA" w:rsidRDefault="00E20087" w:rsidP="00E20087">
            <w:pPr>
              <w:ind w:left="1080" w:hanging="1080"/>
              <w:jc w:val="both"/>
              <w:rPr>
                <w:rFonts w:cs="Arial"/>
                <w:i/>
                <w:sz w:val="20"/>
                <w:szCs w:val="20"/>
              </w:rPr>
            </w:pPr>
          </w:p>
          <w:p w:rsidR="00E20087" w:rsidRPr="00EA7AEA" w:rsidRDefault="00E20087" w:rsidP="00E20087">
            <w:pPr>
              <w:ind w:left="1080" w:hanging="1080"/>
              <w:jc w:val="both"/>
              <w:rPr>
                <w:rFonts w:cs="Arial"/>
                <w:i/>
                <w:sz w:val="20"/>
                <w:szCs w:val="20"/>
              </w:rPr>
            </w:pPr>
            <w:r w:rsidRPr="00EA7AEA">
              <w:rPr>
                <w:rFonts w:cs="Arial"/>
                <w:i/>
                <w:sz w:val="20"/>
                <w:szCs w:val="20"/>
              </w:rPr>
              <w:t>The dispute is raised within 3 months of the disputed event occurring.</w:t>
            </w:r>
          </w:p>
          <w:p w:rsidR="00E20087" w:rsidRPr="00EA7AEA" w:rsidRDefault="00E20087" w:rsidP="00E20087">
            <w:pPr>
              <w:ind w:left="1080" w:hanging="1080"/>
              <w:jc w:val="both"/>
              <w:rPr>
                <w:rFonts w:cs="Arial"/>
                <w:sz w:val="20"/>
                <w:szCs w:val="20"/>
              </w:rPr>
            </w:pPr>
          </w:p>
          <w:p w:rsidR="00E20087" w:rsidRPr="00EA7AEA" w:rsidRDefault="00E20087" w:rsidP="00E20087">
            <w:pPr>
              <w:ind w:left="1080" w:hanging="1080"/>
              <w:jc w:val="both"/>
              <w:rPr>
                <w:rFonts w:cs="Arial"/>
                <w:sz w:val="20"/>
                <w:szCs w:val="20"/>
                <w:u w:val="single"/>
              </w:rPr>
            </w:pPr>
            <w:r w:rsidRPr="00EA7AEA">
              <w:rPr>
                <w:rFonts w:cs="Arial"/>
                <w:sz w:val="20"/>
                <w:szCs w:val="20"/>
                <w:u w:val="single"/>
              </w:rPr>
              <w:t>Evidence 6:</w:t>
            </w:r>
          </w:p>
          <w:p w:rsidR="00E20087" w:rsidRPr="00EA7AEA" w:rsidRDefault="00E20087" w:rsidP="00E20087">
            <w:pPr>
              <w:jc w:val="both"/>
              <w:rPr>
                <w:rFonts w:cs="Arial"/>
              </w:rPr>
            </w:pPr>
          </w:p>
          <w:p w:rsidR="00E20087" w:rsidRPr="00EA7AEA" w:rsidRDefault="00E20087" w:rsidP="00E20087">
            <w:pPr>
              <w:jc w:val="both"/>
              <w:rPr>
                <w:rFonts w:cs="Arial"/>
              </w:rPr>
            </w:pPr>
          </w:p>
          <w:p w:rsidR="00D110DF" w:rsidRPr="00EA7AEA" w:rsidRDefault="00D110DF" w:rsidP="00E20087">
            <w:pPr>
              <w:jc w:val="both"/>
              <w:rPr>
                <w:rFonts w:cs="Arial"/>
              </w:rPr>
            </w:pPr>
          </w:p>
        </w:tc>
      </w:tr>
      <w:tr w:rsidR="00E20087" w:rsidRPr="00EA7AEA" w:rsidTr="00E20087">
        <w:tc>
          <w:tcPr>
            <w:tcW w:w="9242" w:type="dxa"/>
          </w:tcPr>
          <w:p w:rsidR="00E20087" w:rsidRPr="00EA7AEA" w:rsidRDefault="00E20087" w:rsidP="00E20087">
            <w:pPr>
              <w:ind w:left="1080" w:hanging="1080"/>
              <w:jc w:val="both"/>
              <w:rPr>
                <w:rFonts w:cs="Arial"/>
                <w:sz w:val="20"/>
                <w:szCs w:val="20"/>
                <w:u w:val="single"/>
              </w:rPr>
            </w:pPr>
          </w:p>
          <w:p w:rsidR="00E20087" w:rsidRPr="00EA7AEA" w:rsidRDefault="00E20087" w:rsidP="00E20087">
            <w:pPr>
              <w:ind w:left="1080" w:hanging="1080"/>
              <w:jc w:val="both"/>
              <w:rPr>
                <w:rFonts w:cs="Arial"/>
                <w:i/>
                <w:sz w:val="20"/>
                <w:szCs w:val="20"/>
                <w:u w:val="single"/>
              </w:rPr>
            </w:pPr>
            <w:r w:rsidRPr="00EA7AEA">
              <w:rPr>
                <w:rFonts w:cs="Arial"/>
                <w:i/>
                <w:sz w:val="20"/>
                <w:szCs w:val="20"/>
                <w:u w:val="single"/>
              </w:rPr>
              <w:t>Acceptance Criteria 7:</w:t>
            </w:r>
          </w:p>
          <w:p w:rsidR="00E20087" w:rsidRPr="00EA7AEA" w:rsidRDefault="00E20087" w:rsidP="00E20087">
            <w:pPr>
              <w:ind w:left="1080" w:hanging="1080"/>
              <w:jc w:val="both"/>
              <w:rPr>
                <w:rFonts w:cs="Arial"/>
                <w:i/>
                <w:sz w:val="20"/>
                <w:szCs w:val="20"/>
              </w:rPr>
            </w:pPr>
          </w:p>
          <w:p w:rsidR="00E20087" w:rsidRPr="00EA7AEA" w:rsidRDefault="00E20087" w:rsidP="00E20087">
            <w:pPr>
              <w:jc w:val="both"/>
              <w:rPr>
                <w:rFonts w:cs="Arial"/>
                <w:i/>
                <w:sz w:val="20"/>
                <w:szCs w:val="20"/>
              </w:rPr>
            </w:pPr>
            <w:r w:rsidRPr="00EA7AEA">
              <w:rPr>
                <w:rFonts w:cs="Arial"/>
                <w:i/>
                <w:sz w:val="20"/>
                <w:szCs w:val="20"/>
              </w:rPr>
              <w:t xml:space="preserve">The dispute is not a ‘reserved matter’ under the Principles and </w:t>
            </w:r>
            <w:r w:rsidR="00B67D5C" w:rsidRPr="00EA7AEA">
              <w:rPr>
                <w:rFonts w:cs="Arial"/>
                <w:i/>
                <w:sz w:val="20"/>
                <w:szCs w:val="20"/>
              </w:rPr>
              <w:t>R</w:t>
            </w:r>
            <w:r w:rsidRPr="00EA7AEA">
              <w:rPr>
                <w:rFonts w:cs="Arial"/>
                <w:i/>
                <w:sz w:val="20"/>
                <w:szCs w:val="20"/>
              </w:rPr>
              <w:t xml:space="preserve">ules of Cooperation and Competition, i.e. issues that overlap with existing legislation and the role of competition authorities.  </w:t>
            </w:r>
          </w:p>
          <w:p w:rsidR="00E20087" w:rsidRPr="00EA7AEA" w:rsidRDefault="00E20087" w:rsidP="00E20087">
            <w:pPr>
              <w:jc w:val="both"/>
              <w:rPr>
                <w:rFonts w:cs="Arial"/>
                <w:sz w:val="20"/>
                <w:szCs w:val="20"/>
              </w:rPr>
            </w:pPr>
          </w:p>
          <w:p w:rsidR="00E20087" w:rsidRPr="00EA7AEA" w:rsidRDefault="00E20087" w:rsidP="00E20087">
            <w:pPr>
              <w:jc w:val="both"/>
              <w:rPr>
                <w:rFonts w:cs="Arial"/>
                <w:sz w:val="20"/>
                <w:szCs w:val="20"/>
                <w:u w:val="single"/>
              </w:rPr>
            </w:pPr>
            <w:r w:rsidRPr="00EA7AEA">
              <w:rPr>
                <w:rFonts w:cs="Arial"/>
                <w:sz w:val="20"/>
                <w:szCs w:val="20"/>
                <w:u w:val="single"/>
              </w:rPr>
              <w:t>Evidence 7:</w:t>
            </w:r>
          </w:p>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tc>
      </w:tr>
    </w:tbl>
    <w:p w:rsidR="00D110DF" w:rsidRPr="00EA7AEA" w:rsidRDefault="00D110DF" w:rsidP="00E20087">
      <w:pPr>
        <w:jc w:val="both"/>
        <w:rPr>
          <w:rFonts w:cs="Arial"/>
          <w:b/>
        </w:rPr>
      </w:pPr>
    </w:p>
    <w:p w:rsidR="00E20087" w:rsidRPr="00EA7AEA" w:rsidRDefault="00E20087" w:rsidP="003A4281">
      <w:pPr>
        <w:ind w:left="709" w:hanging="709"/>
        <w:jc w:val="both"/>
        <w:rPr>
          <w:rFonts w:cs="Arial"/>
          <w:u w:val="single"/>
        </w:rPr>
      </w:pPr>
      <w:r w:rsidRPr="00EA7AEA">
        <w:rPr>
          <w:rFonts w:cs="Arial"/>
        </w:rPr>
        <w:t xml:space="preserve">3. </w:t>
      </w:r>
      <w:r w:rsidRPr="00EA7AEA">
        <w:rPr>
          <w:rFonts w:cs="Arial"/>
        </w:rPr>
        <w:tab/>
      </w:r>
      <w:r w:rsidRPr="00EA7AEA">
        <w:rPr>
          <w:rFonts w:cs="Arial"/>
          <w:u w:val="single"/>
        </w:rPr>
        <w:t>Basis of Complaint:</w:t>
      </w:r>
    </w:p>
    <w:p w:rsidR="00E20087" w:rsidRPr="00EA7AEA" w:rsidRDefault="00E20087" w:rsidP="00E20087">
      <w:pPr>
        <w:jc w:val="both"/>
        <w:rPr>
          <w:rFonts w:cs="Arial"/>
        </w:rPr>
      </w:pPr>
    </w:p>
    <w:tbl>
      <w:tblPr>
        <w:tblStyle w:val="TableGrid"/>
        <w:tblW w:w="0" w:type="auto"/>
        <w:tblLook w:val="01E0" w:firstRow="1" w:lastRow="1" w:firstColumn="1" w:lastColumn="1" w:noHBand="0" w:noVBand="0"/>
      </w:tblPr>
      <w:tblGrid>
        <w:gridCol w:w="9242"/>
      </w:tblGrid>
      <w:tr w:rsidR="00BE69CE" w:rsidRPr="00EA7AEA" w:rsidTr="00E20087">
        <w:tc>
          <w:tcPr>
            <w:tcW w:w="9242" w:type="dxa"/>
            <w:shd w:val="clear" w:color="auto" w:fill="B8CCE4" w:themeFill="accent1" w:themeFillTint="66"/>
          </w:tcPr>
          <w:p w:rsidR="00E20087" w:rsidRPr="00EA7AEA" w:rsidRDefault="00E20087" w:rsidP="00946653">
            <w:pPr>
              <w:spacing w:before="60" w:after="60"/>
              <w:jc w:val="both"/>
              <w:rPr>
                <w:rFonts w:cs="Arial"/>
                <w:sz w:val="20"/>
                <w:szCs w:val="20"/>
              </w:rPr>
            </w:pPr>
            <w:r w:rsidRPr="00EA7AEA">
              <w:rPr>
                <w:rFonts w:cs="Arial"/>
                <w:b/>
                <w:sz w:val="20"/>
                <w:szCs w:val="20"/>
              </w:rPr>
              <w:t>Details of the basis of the dispute and which principles are breached:</w:t>
            </w:r>
          </w:p>
        </w:tc>
      </w:tr>
      <w:tr w:rsidR="00E20087" w:rsidRPr="00EA7AEA" w:rsidTr="00E20087">
        <w:tc>
          <w:tcPr>
            <w:tcW w:w="9242" w:type="dxa"/>
          </w:tcPr>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tc>
      </w:tr>
    </w:tbl>
    <w:p w:rsidR="00E20087" w:rsidRPr="00EA7AEA" w:rsidRDefault="00E20087" w:rsidP="00E20087">
      <w:pPr>
        <w:jc w:val="both"/>
        <w:rPr>
          <w:rFonts w:cs="Arial"/>
        </w:rPr>
      </w:pPr>
    </w:p>
    <w:p w:rsidR="00E20087" w:rsidRPr="00EA7AEA" w:rsidRDefault="00E20087" w:rsidP="003A4281">
      <w:pPr>
        <w:ind w:left="709" w:hanging="709"/>
        <w:jc w:val="both"/>
        <w:rPr>
          <w:rFonts w:cs="Arial"/>
          <w:u w:val="single"/>
        </w:rPr>
      </w:pPr>
      <w:r w:rsidRPr="00EA7AEA">
        <w:rPr>
          <w:rFonts w:cs="Arial"/>
        </w:rPr>
        <w:t>4.</w:t>
      </w:r>
      <w:r w:rsidRPr="00EA7AEA">
        <w:rPr>
          <w:rFonts w:cs="Arial"/>
        </w:rPr>
        <w:tab/>
      </w:r>
      <w:r w:rsidRPr="00EA7AEA">
        <w:rPr>
          <w:rFonts w:cs="Arial"/>
          <w:u w:val="single"/>
        </w:rPr>
        <w:t>Evidence:</w:t>
      </w:r>
    </w:p>
    <w:p w:rsidR="00E20087" w:rsidRPr="00EA7AEA" w:rsidRDefault="00E20087" w:rsidP="00E20087">
      <w:pPr>
        <w:jc w:val="both"/>
        <w:rPr>
          <w:rFonts w:cs="Arial"/>
        </w:rPr>
      </w:pPr>
    </w:p>
    <w:tbl>
      <w:tblPr>
        <w:tblStyle w:val="TableGrid"/>
        <w:tblW w:w="0" w:type="auto"/>
        <w:tblLook w:val="01E0" w:firstRow="1" w:lastRow="1" w:firstColumn="1" w:lastColumn="1" w:noHBand="0" w:noVBand="0"/>
      </w:tblPr>
      <w:tblGrid>
        <w:gridCol w:w="9242"/>
      </w:tblGrid>
      <w:tr w:rsidR="00BE69CE" w:rsidRPr="00EA7AEA" w:rsidTr="00E20087">
        <w:tc>
          <w:tcPr>
            <w:tcW w:w="9242" w:type="dxa"/>
            <w:shd w:val="clear" w:color="auto" w:fill="B8CCE4" w:themeFill="accent1" w:themeFillTint="66"/>
          </w:tcPr>
          <w:p w:rsidR="00E20087" w:rsidRPr="00EA7AEA" w:rsidRDefault="00E20087" w:rsidP="00946653">
            <w:pPr>
              <w:spacing w:before="60" w:after="60"/>
              <w:jc w:val="both"/>
              <w:rPr>
                <w:rFonts w:cs="Arial"/>
              </w:rPr>
            </w:pPr>
            <w:r w:rsidRPr="00EA7AEA">
              <w:rPr>
                <w:rFonts w:cs="Arial"/>
                <w:b/>
                <w:sz w:val="20"/>
                <w:szCs w:val="20"/>
              </w:rPr>
              <w:t>Any supporting evidence available:</w:t>
            </w:r>
          </w:p>
        </w:tc>
      </w:tr>
      <w:tr w:rsidR="00E20087" w:rsidRPr="00EA7AEA" w:rsidTr="00E20087">
        <w:tc>
          <w:tcPr>
            <w:tcW w:w="9242" w:type="dxa"/>
          </w:tcPr>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tc>
      </w:tr>
    </w:tbl>
    <w:p w:rsidR="00E20087" w:rsidRPr="00EA7AEA" w:rsidRDefault="00E20087" w:rsidP="00E20087">
      <w:pPr>
        <w:jc w:val="both"/>
        <w:rPr>
          <w:rFonts w:cs="Arial"/>
        </w:rPr>
      </w:pPr>
    </w:p>
    <w:p w:rsidR="00946653" w:rsidRPr="00EA7AEA" w:rsidRDefault="00946653" w:rsidP="00E20087">
      <w:pPr>
        <w:jc w:val="both"/>
        <w:rPr>
          <w:rFonts w:cs="Arial"/>
        </w:rPr>
      </w:pPr>
    </w:p>
    <w:p w:rsidR="00946653" w:rsidRPr="00EA7AEA" w:rsidRDefault="00946653" w:rsidP="00E20087">
      <w:pPr>
        <w:jc w:val="both"/>
        <w:rPr>
          <w:rFonts w:cs="Arial"/>
        </w:rPr>
      </w:pPr>
    </w:p>
    <w:p w:rsidR="00946653" w:rsidRPr="00EA7AEA" w:rsidRDefault="00946653" w:rsidP="00E20087">
      <w:pPr>
        <w:jc w:val="both"/>
        <w:rPr>
          <w:rFonts w:cs="Arial"/>
        </w:rPr>
      </w:pPr>
    </w:p>
    <w:p w:rsidR="00817E32" w:rsidRPr="00EA7AEA" w:rsidRDefault="00817E32" w:rsidP="00E20087">
      <w:pPr>
        <w:jc w:val="both"/>
        <w:rPr>
          <w:rFonts w:cs="Arial"/>
        </w:rPr>
      </w:pPr>
    </w:p>
    <w:p w:rsidR="00E20087" w:rsidRPr="00EA7AEA" w:rsidRDefault="00E20087" w:rsidP="00E20087">
      <w:pPr>
        <w:jc w:val="both"/>
        <w:rPr>
          <w:rFonts w:cs="Arial"/>
          <w:u w:val="single"/>
        </w:rPr>
      </w:pPr>
      <w:r w:rsidRPr="00EA7AEA">
        <w:rPr>
          <w:rFonts w:cs="Arial"/>
        </w:rPr>
        <w:lastRenderedPageBreak/>
        <w:t>5.</w:t>
      </w:r>
      <w:r w:rsidRPr="00EA7AEA">
        <w:rPr>
          <w:rFonts w:cs="Arial"/>
        </w:rPr>
        <w:tab/>
      </w:r>
      <w:r w:rsidRPr="00EA7AEA">
        <w:rPr>
          <w:rFonts w:cs="Arial"/>
          <w:u w:val="single"/>
        </w:rPr>
        <w:t>Summary Statement:</w:t>
      </w:r>
    </w:p>
    <w:p w:rsidR="00E20087" w:rsidRPr="00EA7AEA" w:rsidRDefault="00E20087" w:rsidP="00E20087">
      <w:pPr>
        <w:jc w:val="both"/>
        <w:rPr>
          <w:rFonts w:cs="Arial"/>
        </w:rPr>
      </w:pPr>
    </w:p>
    <w:tbl>
      <w:tblPr>
        <w:tblStyle w:val="TableGrid"/>
        <w:tblW w:w="0" w:type="auto"/>
        <w:tblLook w:val="01E0" w:firstRow="1" w:lastRow="1" w:firstColumn="1" w:lastColumn="1" w:noHBand="0" w:noVBand="0"/>
      </w:tblPr>
      <w:tblGrid>
        <w:gridCol w:w="9242"/>
      </w:tblGrid>
      <w:tr w:rsidR="00BE69CE" w:rsidRPr="00EA7AEA" w:rsidTr="00E20087">
        <w:tc>
          <w:tcPr>
            <w:tcW w:w="9242" w:type="dxa"/>
            <w:shd w:val="clear" w:color="auto" w:fill="B8CCE4" w:themeFill="accent1" w:themeFillTint="66"/>
          </w:tcPr>
          <w:p w:rsidR="00E20087" w:rsidRPr="00EA7AEA" w:rsidRDefault="00E20087" w:rsidP="00946653">
            <w:pPr>
              <w:spacing w:before="60" w:after="60"/>
              <w:jc w:val="both"/>
              <w:rPr>
                <w:rFonts w:cs="Arial"/>
              </w:rPr>
            </w:pPr>
            <w:r w:rsidRPr="00EA7AEA">
              <w:rPr>
                <w:rFonts w:cs="Arial"/>
                <w:b/>
                <w:sz w:val="20"/>
                <w:szCs w:val="20"/>
              </w:rPr>
              <w:t>A statement as to the desired outcome or resolution:</w:t>
            </w:r>
          </w:p>
        </w:tc>
      </w:tr>
      <w:tr w:rsidR="00E20087" w:rsidRPr="00EA7AEA" w:rsidTr="00E20087">
        <w:tc>
          <w:tcPr>
            <w:tcW w:w="9242" w:type="dxa"/>
          </w:tcPr>
          <w:p w:rsidR="00E20087" w:rsidRPr="00EA7AEA" w:rsidRDefault="00E20087" w:rsidP="00E20087">
            <w:pPr>
              <w:jc w:val="both"/>
              <w:rPr>
                <w:rFonts w:cs="Arial"/>
              </w:rPr>
            </w:pPr>
          </w:p>
          <w:p w:rsidR="00E20087" w:rsidRPr="00EA7AEA" w:rsidRDefault="00E20087" w:rsidP="00E20087">
            <w:pPr>
              <w:jc w:val="both"/>
              <w:rPr>
                <w:rFonts w:cs="Arial"/>
              </w:rPr>
            </w:pPr>
          </w:p>
          <w:p w:rsidR="00E20087" w:rsidRPr="00EA7AEA" w:rsidRDefault="00E20087" w:rsidP="00E20087">
            <w:pPr>
              <w:jc w:val="both"/>
              <w:rPr>
                <w:rFonts w:cs="Arial"/>
              </w:rPr>
            </w:pPr>
          </w:p>
        </w:tc>
      </w:tr>
    </w:tbl>
    <w:p w:rsidR="00E20087" w:rsidRPr="00EA7AEA" w:rsidRDefault="00E20087" w:rsidP="00E20087">
      <w:pPr>
        <w:jc w:val="both"/>
        <w:rPr>
          <w:rFonts w:cs="Arial"/>
        </w:rPr>
      </w:pPr>
    </w:p>
    <w:p w:rsidR="00E20087" w:rsidRPr="00EA7AEA" w:rsidRDefault="00E20087" w:rsidP="00E20087">
      <w:pPr>
        <w:jc w:val="both"/>
        <w:rPr>
          <w:rFonts w:cs="Arial"/>
          <w:u w:val="single"/>
        </w:rPr>
      </w:pPr>
      <w:r w:rsidRPr="00EA7AEA">
        <w:rPr>
          <w:rFonts w:cs="Arial"/>
          <w:u w:val="single"/>
        </w:rPr>
        <w:t>This form should be completed and forwarded by email or post to:</w:t>
      </w:r>
    </w:p>
    <w:p w:rsidR="00E20087" w:rsidRPr="00EA7AEA" w:rsidRDefault="00E20087" w:rsidP="00E20087">
      <w:pPr>
        <w:jc w:val="both"/>
        <w:rPr>
          <w:rFonts w:cs="Arial"/>
        </w:rPr>
      </w:pPr>
    </w:p>
    <w:p w:rsidR="00E20087" w:rsidRPr="00EA7AEA" w:rsidRDefault="00E20087" w:rsidP="00E20087">
      <w:pPr>
        <w:jc w:val="both"/>
        <w:rPr>
          <w:rFonts w:cs="Arial"/>
        </w:rPr>
      </w:pPr>
      <w:r w:rsidRPr="00EA7AEA">
        <w:rPr>
          <w:rFonts w:cs="Arial"/>
        </w:rPr>
        <w:t>David Porter</w:t>
      </w:r>
    </w:p>
    <w:p w:rsidR="00E20087" w:rsidRPr="00EA7AEA" w:rsidRDefault="00E20087" w:rsidP="00E20087">
      <w:pPr>
        <w:jc w:val="both"/>
        <w:rPr>
          <w:rFonts w:cs="Arial"/>
        </w:rPr>
      </w:pPr>
      <w:r w:rsidRPr="00EA7AEA">
        <w:rPr>
          <w:rFonts w:cs="Arial"/>
        </w:rPr>
        <w:t>Head of Procurement</w:t>
      </w:r>
    </w:p>
    <w:p w:rsidR="00E20087" w:rsidRPr="00EA7AEA" w:rsidRDefault="00E20087" w:rsidP="00E20087">
      <w:pPr>
        <w:jc w:val="both"/>
        <w:rPr>
          <w:rFonts w:cs="Arial"/>
        </w:rPr>
      </w:pPr>
      <w:r w:rsidRPr="00EA7AEA">
        <w:rPr>
          <w:rFonts w:cs="Arial"/>
        </w:rPr>
        <w:t>NHS Gloucestershire</w:t>
      </w:r>
      <w:r w:rsidR="00D110DF" w:rsidRPr="00EA7AEA">
        <w:rPr>
          <w:rFonts w:cs="Arial"/>
        </w:rPr>
        <w:t xml:space="preserve"> Clinical Commissioning Group</w:t>
      </w:r>
    </w:p>
    <w:p w:rsidR="00E20087" w:rsidRPr="00EA7AEA" w:rsidRDefault="00E20087" w:rsidP="00E20087">
      <w:pPr>
        <w:jc w:val="both"/>
        <w:rPr>
          <w:rFonts w:cs="Arial"/>
        </w:rPr>
      </w:pPr>
      <w:r w:rsidRPr="00EA7AEA">
        <w:rPr>
          <w:rFonts w:cs="Arial"/>
        </w:rPr>
        <w:t>Sanger House</w:t>
      </w:r>
    </w:p>
    <w:p w:rsidR="00E20087" w:rsidRPr="00EA7AEA" w:rsidRDefault="00E20087" w:rsidP="00E20087">
      <w:pPr>
        <w:jc w:val="both"/>
        <w:rPr>
          <w:rFonts w:cs="Arial"/>
        </w:rPr>
      </w:pPr>
      <w:r w:rsidRPr="00EA7AEA">
        <w:rPr>
          <w:rFonts w:cs="Arial"/>
        </w:rPr>
        <w:t>5220 Valiant Court</w:t>
      </w:r>
    </w:p>
    <w:p w:rsidR="005D5E77" w:rsidRPr="00EA7AEA" w:rsidRDefault="005D5E77" w:rsidP="00E20087">
      <w:pPr>
        <w:jc w:val="both"/>
        <w:rPr>
          <w:rFonts w:cs="Arial"/>
        </w:rPr>
      </w:pPr>
      <w:r w:rsidRPr="00EA7AEA">
        <w:rPr>
          <w:rFonts w:cs="Arial"/>
        </w:rPr>
        <w:t>Delta Way</w:t>
      </w:r>
    </w:p>
    <w:p w:rsidR="00E20087" w:rsidRPr="00EA7AEA" w:rsidRDefault="00E20087" w:rsidP="00E20087">
      <w:pPr>
        <w:jc w:val="both"/>
        <w:rPr>
          <w:rFonts w:cs="Arial"/>
        </w:rPr>
      </w:pPr>
      <w:r w:rsidRPr="00EA7AEA">
        <w:rPr>
          <w:rFonts w:cs="Arial"/>
        </w:rPr>
        <w:t>Gloucester Business Park</w:t>
      </w:r>
    </w:p>
    <w:p w:rsidR="00E20087" w:rsidRPr="00EA7AEA" w:rsidRDefault="00E20087" w:rsidP="00E20087">
      <w:pPr>
        <w:jc w:val="both"/>
        <w:rPr>
          <w:rFonts w:cs="Arial"/>
        </w:rPr>
      </w:pPr>
      <w:r w:rsidRPr="00EA7AEA">
        <w:rPr>
          <w:rFonts w:cs="Arial"/>
        </w:rPr>
        <w:t>Brockworth</w:t>
      </w:r>
    </w:p>
    <w:p w:rsidR="00E20087" w:rsidRPr="00EA7AEA" w:rsidRDefault="00E20087" w:rsidP="00E20087">
      <w:pPr>
        <w:jc w:val="both"/>
        <w:rPr>
          <w:rFonts w:cs="Arial"/>
        </w:rPr>
      </w:pPr>
      <w:r w:rsidRPr="00EA7AEA">
        <w:rPr>
          <w:rFonts w:cs="Arial"/>
        </w:rPr>
        <w:t>Gloucester</w:t>
      </w:r>
    </w:p>
    <w:p w:rsidR="00E20087" w:rsidRPr="00EA7AEA" w:rsidRDefault="00E20087" w:rsidP="00E20087">
      <w:pPr>
        <w:jc w:val="both"/>
        <w:rPr>
          <w:rFonts w:cs="Arial"/>
        </w:rPr>
      </w:pPr>
      <w:r w:rsidRPr="00EA7AEA">
        <w:rPr>
          <w:rFonts w:cs="Arial"/>
        </w:rPr>
        <w:t>GL3 4FE</w:t>
      </w:r>
    </w:p>
    <w:p w:rsidR="005D5E77" w:rsidRPr="00EA7AEA" w:rsidRDefault="005D5E77" w:rsidP="00E20087">
      <w:pPr>
        <w:jc w:val="both"/>
        <w:rPr>
          <w:rFonts w:cs="Arial"/>
        </w:rPr>
      </w:pPr>
    </w:p>
    <w:p w:rsidR="00E20087" w:rsidRPr="00EA7AEA" w:rsidRDefault="00E20087" w:rsidP="00E20087">
      <w:pPr>
        <w:jc w:val="both"/>
        <w:rPr>
          <w:rFonts w:cs="Arial"/>
        </w:rPr>
      </w:pPr>
      <w:r w:rsidRPr="00EA7AEA">
        <w:rPr>
          <w:rFonts w:cs="Arial"/>
        </w:rPr>
        <w:t xml:space="preserve">Email: </w:t>
      </w:r>
      <w:hyperlink r:id="rId16" w:history="1">
        <w:r w:rsidR="005B755A" w:rsidRPr="00EA7AEA">
          <w:rPr>
            <w:rStyle w:val="Hyperlink"/>
            <w:rFonts w:cs="Arial"/>
            <w:color w:val="auto"/>
          </w:rPr>
          <w:t>david.porter6@nhs.net</w:t>
        </w:r>
      </w:hyperlink>
    </w:p>
    <w:p w:rsidR="00166230" w:rsidRPr="00EA7AEA" w:rsidRDefault="00166230" w:rsidP="00797A38">
      <w:pPr>
        <w:rPr>
          <w:rFonts w:cs="Arial"/>
          <w:b/>
          <w:sz w:val="28"/>
          <w:szCs w:val="28"/>
          <w:u w:val="single"/>
        </w:rPr>
      </w:pPr>
    </w:p>
    <w:sectPr w:rsidR="00166230" w:rsidRPr="00EA7AEA" w:rsidSect="0057300F">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CE" w:rsidRDefault="00BE69CE" w:rsidP="00461E9A">
      <w:r>
        <w:separator/>
      </w:r>
    </w:p>
  </w:endnote>
  <w:endnote w:type="continuationSeparator" w:id="0">
    <w:p w:rsidR="00BE69CE" w:rsidRDefault="00BE69CE" w:rsidP="0046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91746"/>
      <w:docPartObj>
        <w:docPartGallery w:val="Page Numbers (Bottom of Page)"/>
        <w:docPartUnique/>
      </w:docPartObj>
    </w:sdtPr>
    <w:sdtEndPr>
      <w:rPr>
        <w:noProof/>
        <w:sz w:val="20"/>
        <w:szCs w:val="20"/>
      </w:rPr>
    </w:sdtEndPr>
    <w:sdtContent>
      <w:p w:rsidR="00BE69CE" w:rsidRPr="0085219C" w:rsidRDefault="00BE69CE">
        <w:pPr>
          <w:pStyle w:val="Footer"/>
          <w:jc w:val="center"/>
          <w:rPr>
            <w:sz w:val="20"/>
            <w:szCs w:val="20"/>
          </w:rPr>
        </w:pPr>
        <w:r w:rsidRPr="0085219C">
          <w:rPr>
            <w:sz w:val="20"/>
            <w:szCs w:val="20"/>
          </w:rPr>
          <w:fldChar w:fldCharType="begin"/>
        </w:r>
        <w:r w:rsidRPr="0085219C">
          <w:rPr>
            <w:sz w:val="20"/>
            <w:szCs w:val="20"/>
          </w:rPr>
          <w:instrText xml:space="preserve"> PAGE   \* MERGEFORMAT </w:instrText>
        </w:r>
        <w:r w:rsidRPr="0085219C">
          <w:rPr>
            <w:sz w:val="20"/>
            <w:szCs w:val="20"/>
          </w:rPr>
          <w:fldChar w:fldCharType="separate"/>
        </w:r>
        <w:r w:rsidR="00EA7AEA">
          <w:rPr>
            <w:noProof/>
            <w:sz w:val="20"/>
            <w:szCs w:val="20"/>
          </w:rPr>
          <w:t>1</w:t>
        </w:r>
        <w:r w:rsidRPr="0085219C">
          <w:rPr>
            <w:noProof/>
            <w:sz w:val="20"/>
            <w:szCs w:val="20"/>
          </w:rPr>
          <w:fldChar w:fldCharType="end"/>
        </w:r>
      </w:p>
    </w:sdtContent>
  </w:sdt>
  <w:p w:rsidR="00BE69CE" w:rsidRDefault="00BE6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CE" w:rsidRDefault="00BE69CE" w:rsidP="00461E9A">
      <w:r>
        <w:separator/>
      </w:r>
    </w:p>
  </w:footnote>
  <w:footnote w:type="continuationSeparator" w:id="0">
    <w:p w:rsidR="00BE69CE" w:rsidRDefault="00BE69CE" w:rsidP="00461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CE" w:rsidRPr="00BE69CE" w:rsidRDefault="00BE69CE" w:rsidP="00C81585">
    <w:pPr>
      <w:pStyle w:val="Header"/>
      <w:jc w:val="center"/>
      <w:rPr>
        <w:sz w:val="20"/>
        <w:szCs w:val="20"/>
      </w:rPr>
    </w:pPr>
    <w:r w:rsidRPr="00BE69CE">
      <w:rPr>
        <w:sz w:val="20"/>
        <w:szCs w:val="20"/>
      </w:rPr>
      <w:t>NHS Gloucestershire Clinical Commissioning Group</w:t>
    </w:r>
  </w:p>
  <w:p w:rsidR="00BE69CE" w:rsidRPr="00BE69CE" w:rsidRDefault="00BE69CE" w:rsidP="00C81585">
    <w:pPr>
      <w:pStyle w:val="Header"/>
      <w:jc w:val="center"/>
      <w:rPr>
        <w:sz w:val="20"/>
        <w:szCs w:val="20"/>
      </w:rPr>
    </w:pPr>
    <w:r w:rsidRPr="00BE69CE">
      <w:rPr>
        <w:sz w:val="20"/>
        <w:szCs w:val="20"/>
      </w:rPr>
      <w:t>Procurement Service</w:t>
    </w:r>
  </w:p>
  <w:p w:rsidR="00BE69CE" w:rsidRDefault="00BE6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970"/>
    <w:multiLevelType w:val="hybridMultilevel"/>
    <w:tmpl w:val="29863F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D21ED0"/>
    <w:multiLevelType w:val="hybridMultilevel"/>
    <w:tmpl w:val="373C51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320BCD"/>
    <w:multiLevelType w:val="hybridMultilevel"/>
    <w:tmpl w:val="D79C16E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59F5C49"/>
    <w:multiLevelType w:val="hybridMultilevel"/>
    <w:tmpl w:val="4358E85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878171F"/>
    <w:multiLevelType w:val="hybridMultilevel"/>
    <w:tmpl w:val="9384ABC0"/>
    <w:lvl w:ilvl="0" w:tplc="AF4C6E4A">
      <w:start w:val="1"/>
      <w:numFmt w:val="decimal"/>
      <w:lvlText w:val="%1."/>
      <w:lvlJc w:val="left"/>
      <w:pPr>
        <w:tabs>
          <w:tab w:val="num" w:pos="900"/>
        </w:tabs>
        <w:ind w:left="900" w:hanging="900"/>
      </w:pPr>
      <w:rPr>
        <w:rFonts w:hint="default"/>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BAA31CD"/>
    <w:multiLevelType w:val="hybridMultilevel"/>
    <w:tmpl w:val="778EE8AA"/>
    <w:lvl w:ilvl="0" w:tplc="2042F0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C275D31"/>
    <w:multiLevelType w:val="hybridMultilevel"/>
    <w:tmpl w:val="C980E1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C9E4DED"/>
    <w:multiLevelType w:val="hybridMultilevel"/>
    <w:tmpl w:val="8C6E04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CD488B"/>
    <w:multiLevelType w:val="hybridMultilevel"/>
    <w:tmpl w:val="9B964658"/>
    <w:lvl w:ilvl="0" w:tplc="08090005">
      <w:start w:val="1"/>
      <w:numFmt w:val="bullet"/>
      <w:lvlText w:val=""/>
      <w:lvlJc w:val="left"/>
      <w:pPr>
        <w:tabs>
          <w:tab w:val="num" w:pos="301"/>
        </w:tabs>
        <w:ind w:left="284" w:hanging="284"/>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9">
    <w:nsid w:val="14194809"/>
    <w:multiLevelType w:val="multilevel"/>
    <w:tmpl w:val="A59CE0BC"/>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5C26EF8"/>
    <w:multiLevelType w:val="hybridMultilevel"/>
    <w:tmpl w:val="BF269DF6"/>
    <w:lvl w:ilvl="0" w:tplc="08090005">
      <w:start w:val="1"/>
      <w:numFmt w:val="bullet"/>
      <w:lvlText w:val=""/>
      <w:lvlJc w:val="left"/>
      <w:pPr>
        <w:tabs>
          <w:tab w:val="num" w:pos="301"/>
        </w:tabs>
        <w:ind w:left="284" w:hanging="284"/>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1">
    <w:nsid w:val="179D1DBE"/>
    <w:multiLevelType w:val="hybridMultilevel"/>
    <w:tmpl w:val="70B41B4A"/>
    <w:lvl w:ilvl="0" w:tplc="6966F8C8">
      <w:start w:val="1"/>
      <w:numFmt w:val="decimal"/>
      <w:lvlText w:val="%1."/>
      <w:lvlJc w:val="left"/>
      <w:pPr>
        <w:tabs>
          <w:tab w:val="num" w:pos="1440"/>
        </w:tabs>
        <w:ind w:left="1440" w:hanging="360"/>
      </w:pPr>
      <w:rPr>
        <w:rFonts w:ascii="Arial" w:eastAsiaTheme="minorHAnsi" w:hAnsi="Arial" w:cs="Arial"/>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1A4510C8"/>
    <w:multiLevelType w:val="hybridMultilevel"/>
    <w:tmpl w:val="E66C6728"/>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AC77D1A"/>
    <w:multiLevelType w:val="hybridMultilevel"/>
    <w:tmpl w:val="6250FD9A"/>
    <w:lvl w:ilvl="0" w:tplc="08090005">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nsid w:val="1BFE277D"/>
    <w:multiLevelType w:val="hybridMultilevel"/>
    <w:tmpl w:val="A9687090"/>
    <w:lvl w:ilvl="0" w:tplc="08090005">
      <w:start w:val="1"/>
      <w:numFmt w:val="bullet"/>
      <w:lvlText w:val=""/>
      <w:lvlJc w:val="left"/>
      <w:pPr>
        <w:tabs>
          <w:tab w:val="num" w:pos="301"/>
        </w:tabs>
        <w:ind w:left="284" w:hanging="284"/>
      </w:pPr>
      <w:rPr>
        <w:rFonts w:ascii="Wingdings" w:hAnsi="Wingdings" w:hint="default"/>
      </w:rPr>
    </w:lvl>
    <w:lvl w:ilvl="1" w:tplc="C7C68F96">
      <w:numFmt w:val="bullet"/>
      <w:lvlText w:val="-"/>
      <w:lvlJc w:val="left"/>
      <w:pPr>
        <w:ind w:left="306" w:hanging="360"/>
      </w:pPr>
      <w:rPr>
        <w:rFonts w:ascii="Arial" w:eastAsiaTheme="minorHAnsi" w:hAnsi="Arial" w:cs="Arial"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5">
    <w:nsid w:val="1F622EC0"/>
    <w:multiLevelType w:val="hybridMultilevel"/>
    <w:tmpl w:val="DB6C570E"/>
    <w:lvl w:ilvl="0" w:tplc="08090001">
      <w:start w:val="1"/>
      <w:numFmt w:val="bullet"/>
      <w:lvlText w:val=""/>
      <w:lvlJc w:val="left"/>
      <w:pPr>
        <w:ind w:left="1004"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1F9E354C"/>
    <w:multiLevelType w:val="hybridMultilevel"/>
    <w:tmpl w:val="DB0C14C4"/>
    <w:lvl w:ilvl="0" w:tplc="08090005">
      <w:start w:val="1"/>
      <w:numFmt w:val="bullet"/>
      <w:lvlText w:val=""/>
      <w:lvlJc w:val="left"/>
      <w:pPr>
        <w:tabs>
          <w:tab w:val="num" w:pos="1021"/>
        </w:tabs>
        <w:ind w:left="1004" w:hanging="284"/>
      </w:pPr>
      <w:rPr>
        <w:rFonts w:ascii="Wingdings" w:hAnsi="Wingdings" w:hint="default"/>
      </w:rPr>
    </w:lvl>
    <w:lvl w:ilvl="1" w:tplc="08090003">
      <w:start w:val="1"/>
      <w:numFmt w:val="bullet"/>
      <w:lvlText w:val="o"/>
      <w:lvlJc w:val="left"/>
      <w:pPr>
        <w:tabs>
          <w:tab w:val="num" w:pos="1026"/>
        </w:tabs>
        <w:ind w:left="1026" w:hanging="360"/>
      </w:pPr>
      <w:rPr>
        <w:rFonts w:ascii="Courier New" w:hAnsi="Courier New" w:cs="Courier New" w:hint="default"/>
      </w:rPr>
    </w:lvl>
    <w:lvl w:ilvl="2" w:tplc="08090005">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17">
    <w:nsid w:val="1FCE5254"/>
    <w:multiLevelType w:val="hybridMultilevel"/>
    <w:tmpl w:val="FF725B22"/>
    <w:lvl w:ilvl="0" w:tplc="08090005">
      <w:start w:val="1"/>
      <w:numFmt w:val="bullet"/>
      <w:lvlText w:val=""/>
      <w:lvlJc w:val="left"/>
      <w:pPr>
        <w:tabs>
          <w:tab w:val="num" w:pos="301"/>
        </w:tabs>
        <w:ind w:left="284" w:hanging="284"/>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8">
    <w:nsid w:val="1FD67FFE"/>
    <w:multiLevelType w:val="hybridMultilevel"/>
    <w:tmpl w:val="93C21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673A20"/>
    <w:multiLevelType w:val="hybridMultilevel"/>
    <w:tmpl w:val="34809A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26A7C45"/>
    <w:multiLevelType w:val="hybridMultilevel"/>
    <w:tmpl w:val="85965770"/>
    <w:lvl w:ilvl="0" w:tplc="08090005">
      <w:start w:val="1"/>
      <w:numFmt w:val="bullet"/>
      <w:lvlText w:val=""/>
      <w:lvlJc w:val="left"/>
      <w:pPr>
        <w:tabs>
          <w:tab w:val="num" w:pos="1021"/>
        </w:tabs>
        <w:ind w:left="1004" w:hanging="284"/>
      </w:pPr>
      <w:rPr>
        <w:rFonts w:ascii="Wingdings" w:hAnsi="Wingdings" w:hint="default"/>
      </w:rPr>
    </w:lvl>
    <w:lvl w:ilvl="1" w:tplc="08090003" w:tentative="1">
      <w:start w:val="1"/>
      <w:numFmt w:val="bullet"/>
      <w:lvlText w:val="o"/>
      <w:lvlJc w:val="left"/>
      <w:pPr>
        <w:tabs>
          <w:tab w:val="num" w:pos="1026"/>
        </w:tabs>
        <w:ind w:left="1026" w:hanging="360"/>
      </w:pPr>
      <w:rPr>
        <w:rFonts w:ascii="Courier New" w:hAnsi="Courier New" w:cs="Courier New"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21">
    <w:nsid w:val="23193A43"/>
    <w:multiLevelType w:val="hybridMultilevel"/>
    <w:tmpl w:val="BC908AD0"/>
    <w:lvl w:ilvl="0" w:tplc="08090005">
      <w:start w:val="1"/>
      <w:numFmt w:val="bullet"/>
      <w:lvlText w:val=""/>
      <w:lvlJc w:val="left"/>
      <w:pPr>
        <w:tabs>
          <w:tab w:val="num" w:pos="1561"/>
        </w:tabs>
        <w:ind w:left="1544" w:hanging="284"/>
      </w:pPr>
      <w:rPr>
        <w:rFonts w:ascii="Wingdings" w:hAnsi="Wingdings" w:hint="default"/>
      </w:rPr>
    </w:lvl>
    <w:lvl w:ilvl="1" w:tplc="08090003">
      <w:start w:val="1"/>
      <w:numFmt w:val="bullet"/>
      <w:lvlText w:val="o"/>
      <w:lvlJc w:val="left"/>
      <w:pPr>
        <w:tabs>
          <w:tab w:val="num" w:pos="1566"/>
        </w:tabs>
        <w:ind w:left="1566" w:hanging="360"/>
      </w:pPr>
      <w:rPr>
        <w:rFonts w:ascii="Courier New" w:hAnsi="Courier New" w:cs="Courier New" w:hint="default"/>
      </w:rPr>
    </w:lvl>
    <w:lvl w:ilvl="2" w:tplc="08090005">
      <w:start w:val="1"/>
      <w:numFmt w:val="bullet"/>
      <w:lvlText w:val=""/>
      <w:lvlJc w:val="left"/>
      <w:pPr>
        <w:tabs>
          <w:tab w:val="num" w:pos="2286"/>
        </w:tabs>
        <w:ind w:left="2286" w:hanging="360"/>
      </w:pPr>
      <w:rPr>
        <w:rFonts w:ascii="Wingdings" w:hAnsi="Wingdings" w:hint="default"/>
      </w:rPr>
    </w:lvl>
    <w:lvl w:ilvl="3" w:tplc="08090001" w:tentative="1">
      <w:start w:val="1"/>
      <w:numFmt w:val="bullet"/>
      <w:lvlText w:val=""/>
      <w:lvlJc w:val="left"/>
      <w:pPr>
        <w:tabs>
          <w:tab w:val="num" w:pos="3006"/>
        </w:tabs>
        <w:ind w:left="3006" w:hanging="360"/>
      </w:pPr>
      <w:rPr>
        <w:rFonts w:ascii="Symbol" w:hAnsi="Symbol" w:hint="default"/>
      </w:rPr>
    </w:lvl>
    <w:lvl w:ilvl="4" w:tplc="08090003" w:tentative="1">
      <w:start w:val="1"/>
      <w:numFmt w:val="bullet"/>
      <w:lvlText w:val="o"/>
      <w:lvlJc w:val="left"/>
      <w:pPr>
        <w:tabs>
          <w:tab w:val="num" w:pos="3726"/>
        </w:tabs>
        <w:ind w:left="3726" w:hanging="360"/>
      </w:pPr>
      <w:rPr>
        <w:rFonts w:ascii="Courier New" w:hAnsi="Courier New" w:cs="Courier New" w:hint="default"/>
      </w:rPr>
    </w:lvl>
    <w:lvl w:ilvl="5" w:tplc="08090005" w:tentative="1">
      <w:start w:val="1"/>
      <w:numFmt w:val="bullet"/>
      <w:lvlText w:val=""/>
      <w:lvlJc w:val="left"/>
      <w:pPr>
        <w:tabs>
          <w:tab w:val="num" w:pos="4446"/>
        </w:tabs>
        <w:ind w:left="4446" w:hanging="360"/>
      </w:pPr>
      <w:rPr>
        <w:rFonts w:ascii="Wingdings" w:hAnsi="Wingdings" w:hint="default"/>
      </w:rPr>
    </w:lvl>
    <w:lvl w:ilvl="6" w:tplc="08090001" w:tentative="1">
      <w:start w:val="1"/>
      <w:numFmt w:val="bullet"/>
      <w:lvlText w:val=""/>
      <w:lvlJc w:val="left"/>
      <w:pPr>
        <w:tabs>
          <w:tab w:val="num" w:pos="5166"/>
        </w:tabs>
        <w:ind w:left="5166" w:hanging="360"/>
      </w:pPr>
      <w:rPr>
        <w:rFonts w:ascii="Symbol" w:hAnsi="Symbol" w:hint="default"/>
      </w:rPr>
    </w:lvl>
    <w:lvl w:ilvl="7" w:tplc="08090003" w:tentative="1">
      <w:start w:val="1"/>
      <w:numFmt w:val="bullet"/>
      <w:lvlText w:val="o"/>
      <w:lvlJc w:val="left"/>
      <w:pPr>
        <w:tabs>
          <w:tab w:val="num" w:pos="5886"/>
        </w:tabs>
        <w:ind w:left="5886" w:hanging="360"/>
      </w:pPr>
      <w:rPr>
        <w:rFonts w:ascii="Courier New" w:hAnsi="Courier New" w:cs="Courier New" w:hint="default"/>
      </w:rPr>
    </w:lvl>
    <w:lvl w:ilvl="8" w:tplc="08090005" w:tentative="1">
      <w:start w:val="1"/>
      <w:numFmt w:val="bullet"/>
      <w:lvlText w:val=""/>
      <w:lvlJc w:val="left"/>
      <w:pPr>
        <w:tabs>
          <w:tab w:val="num" w:pos="6606"/>
        </w:tabs>
        <w:ind w:left="6606" w:hanging="360"/>
      </w:pPr>
      <w:rPr>
        <w:rFonts w:ascii="Wingdings" w:hAnsi="Wingdings" w:hint="default"/>
      </w:rPr>
    </w:lvl>
  </w:abstractNum>
  <w:abstractNum w:abstractNumId="22">
    <w:nsid w:val="250C72B6"/>
    <w:multiLevelType w:val="hybridMultilevel"/>
    <w:tmpl w:val="0D5263D4"/>
    <w:lvl w:ilvl="0" w:tplc="08090005">
      <w:start w:val="1"/>
      <w:numFmt w:val="bullet"/>
      <w:lvlText w:val=""/>
      <w:lvlJc w:val="left"/>
      <w:pPr>
        <w:tabs>
          <w:tab w:val="num" w:pos="1021"/>
        </w:tabs>
        <w:ind w:left="1004" w:hanging="284"/>
      </w:pPr>
      <w:rPr>
        <w:rFonts w:ascii="Wingdings" w:hAnsi="Wingdings" w:hint="default"/>
      </w:rPr>
    </w:lvl>
    <w:lvl w:ilvl="1" w:tplc="08090003">
      <w:start w:val="1"/>
      <w:numFmt w:val="bullet"/>
      <w:lvlText w:val="o"/>
      <w:lvlJc w:val="left"/>
      <w:pPr>
        <w:tabs>
          <w:tab w:val="num" w:pos="1026"/>
        </w:tabs>
        <w:ind w:left="1026" w:hanging="360"/>
      </w:pPr>
      <w:rPr>
        <w:rFonts w:ascii="Courier New" w:hAnsi="Courier New" w:cs="Courier New" w:hint="default"/>
      </w:rPr>
    </w:lvl>
    <w:lvl w:ilvl="2" w:tplc="08090005">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23">
    <w:nsid w:val="286C0002"/>
    <w:multiLevelType w:val="hybridMultilevel"/>
    <w:tmpl w:val="4A40DB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8DE7FD6"/>
    <w:multiLevelType w:val="hybridMultilevel"/>
    <w:tmpl w:val="163A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B161BF2"/>
    <w:multiLevelType w:val="hybridMultilevel"/>
    <w:tmpl w:val="903CDC88"/>
    <w:lvl w:ilvl="0" w:tplc="08090005">
      <w:start w:val="1"/>
      <w:numFmt w:val="bullet"/>
      <w:lvlText w:val=""/>
      <w:lvlJc w:val="left"/>
      <w:pPr>
        <w:tabs>
          <w:tab w:val="num" w:pos="1021"/>
        </w:tabs>
        <w:ind w:left="1004" w:hanging="284"/>
      </w:pPr>
      <w:rPr>
        <w:rFonts w:ascii="Wingdings" w:hAnsi="Wingdings" w:hint="default"/>
      </w:rPr>
    </w:lvl>
    <w:lvl w:ilvl="1" w:tplc="08090003" w:tentative="1">
      <w:start w:val="1"/>
      <w:numFmt w:val="bullet"/>
      <w:lvlText w:val="o"/>
      <w:lvlJc w:val="left"/>
      <w:pPr>
        <w:tabs>
          <w:tab w:val="num" w:pos="1026"/>
        </w:tabs>
        <w:ind w:left="1026" w:hanging="360"/>
      </w:pPr>
      <w:rPr>
        <w:rFonts w:ascii="Courier New" w:hAnsi="Courier New" w:cs="Courier New"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26">
    <w:nsid w:val="2BED4F4D"/>
    <w:multiLevelType w:val="hybridMultilevel"/>
    <w:tmpl w:val="04D482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D710BC1"/>
    <w:multiLevelType w:val="hybridMultilevel"/>
    <w:tmpl w:val="CF022F3E"/>
    <w:lvl w:ilvl="0" w:tplc="76A6337E">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2DED0B16"/>
    <w:multiLevelType w:val="hybridMultilevel"/>
    <w:tmpl w:val="0748BD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2E496227"/>
    <w:multiLevelType w:val="hybridMultilevel"/>
    <w:tmpl w:val="97E481C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ED739BB"/>
    <w:multiLevelType w:val="hybridMultilevel"/>
    <w:tmpl w:val="125A7AC6"/>
    <w:lvl w:ilvl="0" w:tplc="08090001">
      <w:start w:val="1"/>
      <w:numFmt w:val="bullet"/>
      <w:lvlText w:val=""/>
      <w:lvlJc w:val="left"/>
      <w:pPr>
        <w:tabs>
          <w:tab w:val="num" w:pos="301"/>
        </w:tabs>
        <w:ind w:left="284" w:hanging="284"/>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31">
    <w:nsid w:val="30642229"/>
    <w:multiLevelType w:val="hybridMultilevel"/>
    <w:tmpl w:val="CCEE4E9C"/>
    <w:lvl w:ilvl="0" w:tplc="1472C4A4">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13163AE"/>
    <w:multiLevelType w:val="hybridMultilevel"/>
    <w:tmpl w:val="5A0E60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5D03B0F"/>
    <w:multiLevelType w:val="hybridMultilevel"/>
    <w:tmpl w:val="D526BD3C"/>
    <w:lvl w:ilvl="0" w:tplc="08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398E3FD2"/>
    <w:multiLevelType w:val="hybridMultilevel"/>
    <w:tmpl w:val="5DD047B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3C4B4C5D"/>
    <w:multiLevelType w:val="hybridMultilevel"/>
    <w:tmpl w:val="C25E35C6"/>
    <w:lvl w:ilvl="0" w:tplc="08090005">
      <w:start w:val="1"/>
      <w:numFmt w:val="bullet"/>
      <w:lvlText w:val=""/>
      <w:lvlJc w:val="left"/>
      <w:pPr>
        <w:tabs>
          <w:tab w:val="num" w:pos="1021"/>
        </w:tabs>
        <w:ind w:left="1004" w:hanging="284"/>
      </w:pPr>
      <w:rPr>
        <w:rFonts w:ascii="Wingdings" w:hAnsi="Wingdings" w:hint="default"/>
      </w:rPr>
    </w:lvl>
    <w:lvl w:ilvl="1" w:tplc="08090003">
      <w:start w:val="1"/>
      <w:numFmt w:val="bullet"/>
      <w:lvlText w:val="o"/>
      <w:lvlJc w:val="left"/>
      <w:pPr>
        <w:tabs>
          <w:tab w:val="num" w:pos="1026"/>
        </w:tabs>
        <w:ind w:left="1026" w:hanging="360"/>
      </w:pPr>
      <w:rPr>
        <w:rFonts w:ascii="Courier New" w:hAnsi="Courier New" w:cs="Courier New" w:hint="default"/>
      </w:rPr>
    </w:lvl>
    <w:lvl w:ilvl="2" w:tplc="08090005">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36">
    <w:nsid w:val="3E0A3FB0"/>
    <w:multiLevelType w:val="multilevel"/>
    <w:tmpl w:val="8416E634"/>
    <w:lvl w:ilvl="0">
      <w:start w:val="3"/>
      <w:numFmt w:val="decimal"/>
      <w:lvlText w:val="%1"/>
      <w:lvlJc w:val="left"/>
      <w:pPr>
        <w:tabs>
          <w:tab w:val="num" w:pos="720"/>
        </w:tabs>
        <w:ind w:left="720" w:hanging="720"/>
      </w:pPr>
      <w:rPr>
        <w:rFonts w:hint="default"/>
        <w:i w:val="0"/>
      </w:rPr>
    </w:lvl>
    <w:lvl w:ilvl="1">
      <w:start w:val="1"/>
      <w:numFmt w:val="decimal"/>
      <w:lvlText w:val="4.%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7">
    <w:nsid w:val="3E186285"/>
    <w:multiLevelType w:val="hybridMultilevel"/>
    <w:tmpl w:val="9AB0E92A"/>
    <w:lvl w:ilvl="0" w:tplc="08090005">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8">
    <w:nsid w:val="453D09EE"/>
    <w:multiLevelType w:val="hybridMultilevel"/>
    <w:tmpl w:val="8A36C7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59A75B2"/>
    <w:multiLevelType w:val="hybridMultilevel"/>
    <w:tmpl w:val="79701F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67D7312"/>
    <w:multiLevelType w:val="hybridMultilevel"/>
    <w:tmpl w:val="38E0746C"/>
    <w:lvl w:ilvl="0" w:tplc="47BE8FD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4721729E"/>
    <w:multiLevelType w:val="hybridMultilevel"/>
    <w:tmpl w:val="C4A4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8AA614E"/>
    <w:multiLevelType w:val="hybridMultilevel"/>
    <w:tmpl w:val="860260E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4C331175"/>
    <w:multiLevelType w:val="hybridMultilevel"/>
    <w:tmpl w:val="06B221D4"/>
    <w:lvl w:ilvl="0" w:tplc="EAB4B8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4C3C6B5D"/>
    <w:multiLevelType w:val="hybridMultilevel"/>
    <w:tmpl w:val="253CE14C"/>
    <w:lvl w:ilvl="0" w:tplc="08090001">
      <w:start w:val="1"/>
      <w:numFmt w:val="bullet"/>
      <w:lvlText w:val=""/>
      <w:lvlJc w:val="left"/>
      <w:pPr>
        <w:ind w:left="2340" w:hanging="360"/>
      </w:pPr>
      <w:rPr>
        <w:rFonts w:ascii="Symbol" w:hAnsi="Symbol" w:hint="default"/>
      </w:rPr>
    </w:lvl>
    <w:lvl w:ilvl="1" w:tplc="08090001">
      <w:start w:val="1"/>
      <w:numFmt w:val="bullet"/>
      <w:lvlText w:val=""/>
      <w:lvlJc w:val="left"/>
      <w:pPr>
        <w:ind w:left="3060" w:hanging="360"/>
      </w:pPr>
      <w:rPr>
        <w:rFonts w:ascii="Symbol" w:hAnsi="Symbol"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45">
    <w:nsid w:val="4DB149A9"/>
    <w:multiLevelType w:val="hybridMultilevel"/>
    <w:tmpl w:val="27CE7956"/>
    <w:lvl w:ilvl="0" w:tplc="08090001">
      <w:start w:val="1"/>
      <w:numFmt w:val="bullet"/>
      <w:lvlText w:val=""/>
      <w:lvlJc w:val="left"/>
      <w:pPr>
        <w:ind w:left="2340" w:hanging="360"/>
      </w:pPr>
      <w:rPr>
        <w:rFonts w:ascii="Symbol" w:hAnsi="Symbol" w:hint="default"/>
      </w:rPr>
    </w:lvl>
    <w:lvl w:ilvl="1" w:tplc="08090003">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46">
    <w:nsid w:val="505D45D5"/>
    <w:multiLevelType w:val="hybridMultilevel"/>
    <w:tmpl w:val="7F2C3FC6"/>
    <w:lvl w:ilvl="0" w:tplc="08090005">
      <w:start w:val="1"/>
      <w:numFmt w:val="bullet"/>
      <w:lvlText w:val=""/>
      <w:lvlJc w:val="left"/>
      <w:pPr>
        <w:tabs>
          <w:tab w:val="num" w:pos="1021"/>
        </w:tabs>
        <w:ind w:left="1004" w:hanging="284"/>
      </w:pPr>
      <w:rPr>
        <w:rFonts w:ascii="Wingdings" w:hAnsi="Wingdings" w:hint="default"/>
      </w:rPr>
    </w:lvl>
    <w:lvl w:ilvl="1" w:tplc="08090003">
      <w:start w:val="1"/>
      <w:numFmt w:val="bullet"/>
      <w:lvlText w:val="o"/>
      <w:lvlJc w:val="left"/>
      <w:pPr>
        <w:tabs>
          <w:tab w:val="num" w:pos="1026"/>
        </w:tabs>
        <w:ind w:left="1026" w:hanging="360"/>
      </w:pPr>
      <w:rPr>
        <w:rFonts w:ascii="Courier New" w:hAnsi="Courier New" w:cs="Courier New" w:hint="default"/>
      </w:rPr>
    </w:lvl>
    <w:lvl w:ilvl="2" w:tplc="08090005">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47">
    <w:nsid w:val="50825413"/>
    <w:multiLevelType w:val="hybridMultilevel"/>
    <w:tmpl w:val="4D983E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1E9301F"/>
    <w:multiLevelType w:val="hybridMultilevel"/>
    <w:tmpl w:val="338024B4"/>
    <w:lvl w:ilvl="0" w:tplc="7CFC7426">
      <w:start w:val="4"/>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54D36027"/>
    <w:multiLevelType w:val="hybridMultilevel"/>
    <w:tmpl w:val="2488EC9A"/>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558173D0"/>
    <w:multiLevelType w:val="hybridMultilevel"/>
    <w:tmpl w:val="053AC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728671F"/>
    <w:multiLevelType w:val="hybridMultilevel"/>
    <w:tmpl w:val="92F8C07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77747B1"/>
    <w:multiLevelType w:val="hybridMultilevel"/>
    <w:tmpl w:val="4CA6F488"/>
    <w:lvl w:ilvl="0" w:tplc="08090005">
      <w:start w:val="1"/>
      <w:numFmt w:val="bullet"/>
      <w:lvlText w:val=""/>
      <w:lvlJc w:val="left"/>
      <w:pPr>
        <w:tabs>
          <w:tab w:val="num" w:pos="301"/>
        </w:tabs>
        <w:ind w:left="284" w:hanging="284"/>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53">
    <w:nsid w:val="57936F81"/>
    <w:multiLevelType w:val="hybridMultilevel"/>
    <w:tmpl w:val="9CDE86AE"/>
    <w:lvl w:ilvl="0" w:tplc="08090005">
      <w:start w:val="1"/>
      <w:numFmt w:val="bullet"/>
      <w:lvlText w:val=""/>
      <w:lvlJc w:val="left"/>
      <w:pPr>
        <w:tabs>
          <w:tab w:val="num" w:pos="301"/>
        </w:tabs>
        <w:ind w:left="284" w:hanging="284"/>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54">
    <w:nsid w:val="590B51DC"/>
    <w:multiLevelType w:val="hybridMultilevel"/>
    <w:tmpl w:val="761C9416"/>
    <w:lvl w:ilvl="0" w:tplc="08090005">
      <w:start w:val="1"/>
      <w:numFmt w:val="bullet"/>
      <w:lvlText w:val=""/>
      <w:lvlJc w:val="left"/>
      <w:pPr>
        <w:tabs>
          <w:tab w:val="num" w:pos="1561"/>
        </w:tabs>
        <w:ind w:left="1544" w:hanging="284"/>
      </w:pPr>
      <w:rPr>
        <w:rFonts w:ascii="Wingdings" w:hAnsi="Wingdings" w:hint="default"/>
      </w:rPr>
    </w:lvl>
    <w:lvl w:ilvl="1" w:tplc="08090003">
      <w:start w:val="1"/>
      <w:numFmt w:val="bullet"/>
      <w:lvlText w:val="o"/>
      <w:lvlJc w:val="left"/>
      <w:pPr>
        <w:tabs>
          <w:tab w:val="num" w:pos="1566"/>
        </w:tabs>
        <w:ind w:left="1566" w:hanging="360"/>
      </w:pPr>
      <w:rPr>
        <w:rFonts w:ascii="Courier New" w:hAnsi="Courier New" w:cs="Courier New" w:hint="default"/>
      </w:rPr>
    </w:lvl>
    <w:lvl w:ilvl="2" w:tplc="08090005">
      <w:start w:val="1"/>
      <w:numFmt w:val="bullet"/>
      <w:lvlText w:val=""/>
      <w:lvlJc w:val="left"/>
      <w:pPr>
        <w:tabs>
          <w:tab w:val="num" w:pos="2286"/>
        </w:tabs>
        <w:ind w:left="2286" w:hanging="360"/>
      </w:pPr>
      <w:rPr>
        <w:rFonts w:ascii="Wingdings" w:hAnsi="Wingdings" w:hint="default"/>
      </w:rPr>
    </w:lvl>
    <w:lvl w:ilvl="3" w:tplc="08090001" w:tentative="1">
      <w:start w:val="1"/>
      <w:numFmt w:val="bullet"/>
      <w:lvlText w:val=""/>
      <w:lvlJc w:val="left"/>
      <w:pPr>
        <w:tabs>
          <w:tab w:val="num" w:pos="3006"/>
        </w:tabs>
        <w:ind w:left="3006" w:hanging="360"/>
      </w:pPr>
      <w:rPr>
        <w:rFonts w:ascii="Symbol" w:hAnsi="Symbol" w:hint="default"/>
      </w:rPr>
    </w:lvl>
    <w:lvl w:ilvl="4" w:tplc="08090003" w:tentative="1">
      <w:start w:val="1"/>
      <w:numFmt w:val="bullet"/>
      <w:lvlText w:val="o"/>
      <w:lvlJc w:val="left"/>
      <w:pPr>
        <w:tabs>
          <w:tab w:val="num" w:pos="3726"/>
        </w:tabs>
        <w:ind w:left="3726" w:hanging="360"/>
      </w:pPr>
      <w:rPr>
        <w:rFonts w:ascii="Courier New" w:hAnsi="Courier New" w:cs="Courier New" w:hint="default"/>
      </w:rPr>
    </w:lvl>
    <w:lvl w:ilvl="5" w:tplc="08090005" w:tentative="1">
      <w:start w:val="1"/>
      <w:numFmt w:val="bullet"/>
      <w:lvlText w:val=""/>
      <w:lvlJc w:val="left"/>
      <w:pPr>
        <w:tabs>
          <w:tab w:val="num" w:pos="4446"/>
        </w:tabs>
        <w:ind w:left="4446" w:hanging="360"/>
      </w:pPr>
      <w:rPr>
        <w:rFonts w:ascii="Wingdings" w:hAnsi="Wingdings" w:hint="default"/>
      </w:rPr>
    </w:lvl>
    <w:lvl w:ilvl="6" w:tplc="08090001" w:tentative="1">
      <w:start w:val="1"/>
      <w:numFmt w:val="bullet"/>
      <w:lvlText w:val=""/>
      <w:lvlJc w:val="left"/>
      <w:pPr>
        <w:tabs>
          <w:tab w:val="num" w:pos="5166"/>
        </w:tabs>
        <w:ind w:left="5166" w:hanging="360"/>
      </w:pPr>
      <w:rPr>
        <w:rFonts w:ascii="Symbol" w:hAnsi="Symbol" w:hint="default"/>
      </w:rPr>
    </w:lvl>
    <w:lvl w:ilvl="7" w:tplc="08090003" w:tentative="1">
      <w:start w:val="1"/>
      <w:numFmt w:val="bullet"/>
      <w:lvlText w:val="o"/>
      <w:lvlJc w:val="left"/>
      <w:pPr>
        <w:tabs>
          <w:tab w:val="num" w:pos="5886"/>
        </w:tabs>
        <w:ind w:left="5886" w:hanging="360"/>
      </w:pPr>
      <w:rPr>
        <w:rFonts w:ascii="Courier New" w:hAnsi="Courier New" w:cs="Courier New" w:hint="default"/>
      </w:rPr>
    </w:lvl>
    <w:lvl w:ilvl="8" w:tplc="08090005" w:tentative="1">
      <w:start w:val="1"/>
      <w:numFmt w:val="bullet"/>
      <w:lvlText w:val=""/>
      <w:lvlJc w:val="left"/>
      <w:pPr>
        <w:tabs>
          <w:tab w:val="num" w:pos="6606"/>
        </w:tabs>
        <w:ind w:left="6606" w:hanging="360"/>
      </w:pPr>
      <w:rPr>
        <w:rFonts w:ascii="Wingdings" w:hAnsi="Wingdings" w:hint="default"/>
      </w:rPr>
    </w:lvl>
  </w:abstractNum>
  <w:abstractNum w:abstractNumId="55">
    <w:nsid w:val="594C1360"/>
    <w:multiLevelType w:val="hybridMultilevel"/>
    <w:tmpl w:val="77882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C847C1F"/>
    <w:multiLevelType w:val="hybridMultilevel"/>
    <w:tmpl w:val="C5EA4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E2E4812"/>
    <w:multiLevelType w:val="hybridMultilevel"/>
    <w:tmpl w:val="4D9A5E6E"/>
    <w:lvl w:ilvl="0" w:tplc="08090001">
      <w:start w:val="1"/>
      <w:numFmt w:val="bullet"/>
      <w:lvlText w:val=""/>
      <w:lvlJc w:val="left"/>
      <w:pPr>
        <w:tabs>
          <w:tab w:val="num" w:pos="301"/>
        </w:tabs>
        <w:ind w:left="284" w:hanging="284"/>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58">
    <w:nsid w:val="5F5D4516"/>
    <w:multiLevelType w:val="hybridMultilevel"/>
    <w:tmpl w:val="4AFE7268"/>
    <w:lvl w:ilvl="0" w:tplc="08090005">
      <w:start w:val="1"/>
      <w:numFmt w:val="bullet"/>
      <w:lvlText w:val=""/>
      <w:lvlJc w:val="left"/>
      <w:pPr>
        <w:tabs>
          <w:tab w:val="num" w:pos="301"/>
        </w:tabs>
        <w:ind w:left="284" w:hanging="284"/>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59">
    <w:nsid w:val="5FC95E5A"/>
    <w:multiLevelType w:val="hybridMultilevel"/>
    <w:tmpl w:val="C69273E6"/>
    <w:lvl w:ilvl="0" w:tplc="08090005">
      <w:start w:val="1"/>
      <w:numFmt w:val="bullet"/>
      <w:lvlText w:val=""/>
      <w:lvlJc w:val="left"/>
      <w:pPr>
        <w:tabs>
          <w:tab w:val="num" w:pos="1741"/>
        </w:tabs>
        <w:ind w:left="1724" w:hanging="284"/>
      </w:pPr>
      <w:rPr>
        <w:rFonts w:ascii="Wingdings" w:hAnsi="Wingdings" w:hint="default"/>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start w:val="1"/>
      <w:numFmt w:val="bullet"/>
      <w:lvlText w:val=""/>
      <w:lvlJc w:val="left"/>
      <w:pPr>
        <w:tabs>
          <w:tab w:val="num" w:pos="2466"/>
        </w:tabs>
        <w:ind w:left="2466" w:hanging="360"/>
      </w:pPr>
      <w:rPr>
        <w:rFonts w:ascii="Wingdings" w:hAnsi="Wingdings"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60">
    <w:nsid w:val="683A4460"/>
    <w:multiLevelType w:val="hybridMultilevel"/>
    <w:tmpl w:val="9FA8933E"/>
    <w:lvl w:ilvl="0" w:tplc="08090005">
      <w:start w:val="1"/>
      <w:numFmt w:val="bullet"/>
      <w:lvlText w:val=""/>
      <w:lvlJc w:val="left"/>
      <w:pPr>
        <w:tabs>
          <w:tab w:val="num" w:pos="1021"/>
        </w:tabs>
        <w:ind w:left="1004" w:hanging="284"/>
      </w:pPr>
      <w:rPr>
        <w:rFonts w:ascii="Wingdings" w:hAnsi="Wingdings" w:hint="default"/>
      </w:rPr>
    </w:lvl>
    <w:lvl w:ilvl="1" w:tplc="08090003">
      <w:start w:val="1"/>
      <w:numFmt w:val="bullet"/>
      <w:lvlText w:val="o"/>
      <w:lvlJc w:val="left"/>
      <w:pPr>
        <w:tabs>
          <w:tab w:val="num" w:pos="1026"/>
        </w:tabs>
        <w:ind w:left="1026" w:hanging="360"/>
      </w:pPr>
      <w:rPr>
        <w:rFonts w:ascii="Courier New" w:hAnsi="Courier New" w:cs="Courier New" w:hint="default"/>
      </w:rPr>
    </w:lvl>
    <w:lvl w:ilvl="2" w:tplc="08090005">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61">
    <w:nsid w:val="68AC4C9A"/>
    <w:multiLevelType w:val="hybridMultilevel"/>
    <w:tmpl w:val="7E089A72"/>
    <w:lvl w:ilvl="0" w:tplc="08090005">
      <w:start w:val="1"/>
      <w:numFmt w:val="bullet"/>
      <w:lvlText w:val=""/>
      <w:lvlJc w:val="left"/>
      <w:pPr>
        <w:tabs>
          <w:tab w:val="num" w:pos="301"/>
        </w:tabs>
        <w:ind w:left="284" w:hanging="284"/>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62">
    <w:nsid w:val="6A32564C"/>
    <w:multiLevelType w:val="hybridMultilevel"/>
    <w:tmpl w:val="F412E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C9D0AF5"/>
    <w:multiLevelType w:val="hybridMultilevel"/>
    <w:tmpl w:val="CCB0F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CC91733"/>
    <w:multiLevelType w:val="hybridMultilevel"/>
    <w:tmpl w:val="51F6E4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E103524"/>
    <w:multiLevelType w:val="hybridMultilevel"/>
    <w:tmpl w:val="AAFE6A7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6">
    <w:nsid w:val="6F670EFC"/>
    <w:multiLevelType w:val="hybridMultilevel"/>
    <w:tmpl w:val="03983526"/>
    <w:lvl w:ilvl="0" w:tplc="08090005">
      <w:start w:val="1"/>
      <w:numFmt w:val="bullet"/>
      <w:lvlText w:val=""/>
      <w:lvlJc w:val="left"/>
      <w:pPr>
        <w:tabs>
          <w:tab w:val="num" w:pos="1021"/>
        </w:tabs>
        <w:ind w:left="1004" w:hanging="284"/>
      </w:pPr>
      <w:rPr>
        <w:rFonts w:ascii="Wingdings" w:hAnsi="Wingdings" w:hint="default"/>
      </w:rPr>
    </w:lvl>
    <w:lvl w:ilvl="1" w:tplc="08090003">
      <w:start w:val="1"/>
      <w:numFmt w:val="bullet"/>
      <w:lvlText w:val="o"/>
      <w:lvlJc w:val="left"/>
      <w:pPr>
        <w:tabs>
          <w:tab w:val="num" w:pos="1026"/>
        </w:tabs>
        <w:ind w:left="1026" w:hanging="360"/>
      </w:pPr>
      <w:rPr>
        <w:rFonts w:ascii="Courier New" w:hAnsi="Courier New" w:cs="Courier New" w:hint="default"/>
      </w:rPr>
    </w:lvl>
    <w:lvl w:ilvl="2" w:tplc="08090005">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67">
    <w:nsid w:val="718D77F9"/>
    <w:multiLevelType w:val="hybridMultilevel"/>
    <w:tmpl w:val="A9D6E674"/>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73E322DE"/>
    <w:multiLevelType w:val="hybridMultilevel"/>
    <w:tmpl w:val="D354F632"/>
    <w:lvl w:ilvl="0" w:tplc="08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7ABD7E4A"/>
    <w:multiLevelType w:val="hybridMultilevel"/>
    <w:tmpl w:val="4CBACAEC"/>
    <w:lvl w:ilvl="0" w:tplc="08090005">
      <w:start w:val="1"/>
      <w:numFmt w:val="bullet"/>
      <w:lvlText w:val=""/>
      <w:lvlJc w:val="left"/>
      <w:pPr>
        <w:tabs>
          <w:tab w:val="num" w:pos="1021"/>
        </w:tabs>
        <w:ind w:left="1004" w:hanging="284"/>
      </w:pPr>
      <w:rPr>
        <w:rFonts w:ascii="Wingdings" w:hAnsi="Wingdings" w:hint="default"/>
      </w:rPr>
    </w:lvl>
    <w:lvl w:ilvl="1" w:tplc="08090003">
      <w:start w:val="1"/>
      <w:numFmt w:val="bullet"/>
      <w:lvlText w:val="o"/>
      <w:lvlJc w:val="left"/>
      <w:pPr>
        <w:tabs>
          <w:tab w:val="num" w:pos="1026"/>
        </w:tabs>
        <w:ind w:left="1026" w:hanging="360"/>
      </w:pPr>
      <w:rPr>
        <w:rFonts w:ascii="Courier New" w:hAnsi="Courier New" w:cs="Courier New" w:hint="default"/>
      </w:rPr>
    </w:lvl>
    <w:lvl w:ilvl="2" w:tplc="08090005">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70">
    <w:nsid w:val="7AF26468"/>
    <w:multiLevelType w:val="hybridMultilevel"/>
    <w:tmpl w:val="5E22BDBC"/>
    <w:lvl w:ilvl="0" w:tplc="08090005">
      <w:start w:val="1"/>
      <w:numFmt w:val="bullet"/>
      <w:lvlText w:val=""/>
      <w:lvlJc w:val="left"/>
      <w:pPr>
        <w:tabs>
          <w:tab w:val="num" w:pos="301"/>
        </w:tabs>
        <w:ind w:left="284" w:hanging="284"/>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num w:numId="1">
    <w:abstractNumId w:val="32"/>
  </w:num>
  <w:num w:numId="2">
    <w:abstractNumId w:val="62"/>
  </w:num>
  <w:num w:numId="3">
    <w:abstractNumId w:val="27"/>
  </w:num>
  <w:num w:numId="4">
    <w:abstractNumId w:val="29"/>
  </w:num>
  <w:num w:numId="5">
    <w:abstractNumId w:val="63"/>
  </w:num>
  <w:num w:numId="6">
    <w:abstractNumId w:val="26"/>
  </w:num>
  <w:num w:numId="7">
    <w:abstractNumId w:val="4"/>
  </w:num>
  <w:num w:numId="8">
    <w:abstractNumId w:val="48"/>
  </w:num>
  <w:num w:numId="9">
    <w:abstractNumId w:val="6"/>
  </w:num>
  <w:num w:numId="10">
    <w:abstractNumId w:val="23"/>
  </w:num>
  <w:num w:numId="11">
    <w:abstractNumId w:val="2"/>
  </w:num>
  <w:num w:numId="12">
    <w:abstractNumId w:val="65"/>
  </w:num>
  <w:num w:numId="13">
    <w:abstractNumId w:val="11"/>
  </w:num>
  <w:num w:numId="14">
    <w:abstractNumId w:val="36"/>
  </w:num>
  <w:num w:numId="15">
    <w:abstractNumId w:val="9"/>
  </w:num>
  <w:num w:numId="16">
    <w:abstractNumId w:val="40"/>
  </w:num>
  <w:num w:numId="17">
    <w:abstractNumId w:val="54"/>
  </w:num>
  <w:num w:numId="18">
    <w:abstractNumId w:val="20"/>
  </w:num>
  <w:num w:numId="19">
    <w:abstractNumId w:val="33"/>
  </w:num>
  <w:num w:numId="20">
    <w:abstractNumId w:val="68"/>
  </w:num>
  <w:num w:numId="21">
    <w:abstractNumId w:val="67"/>
  </w:num>
  <w:num w:numId="22">
    <w:abstractNumId w:val="49"/>
  </w:num>
  <w:num w:numId="23">
    <w:abstractNumId w:val="25"/>
  </w:num>
  <w:num w:numId="24">
    <w:abstractNumId w:val="3"/>
  </w:num>
  <w:num w:numId="25">
    <w:abstractNumId w:val="14"/>
  </w:num>
  <w:num w:numId="26">
    <w:abstractNumId w:val="55"/>
  </w:num>
  <w:num w:numId="27">
    <w:abstractNumId w:val="70"/>
  </w:num>
  <w:num w:numId="28">
    <w:abstractNumId w:val="52"/>
  </w:num>
  <w:num w:numId="29">
    <w:abstractNumId w:val="53"/>
  </w:num>
  <w:num w:numId="30">
    <w:abstractNumId w:val="61"/>
  </w:num>
  <w:num w:numId="31">
    <w:abstractNumId w:val="8"/>
  </w:num>
  <w:num w:numId="32">
    <w:abstractNumId w:val="58"/>
  </w:num>
  <w:num w:numId="33">
    <w:abstractNumId w:val="17"/>
  </w:num>
  <w:num w:numId="34">
    <w:abstractNumId w:val="10"/>
  </w:num>
  <w:num w:numId="35">
    <w:abstractNumId w:val="69"/>
  </w:num>
  <w:num w:numId="36">
    <w:abstractNumId w:val="35"/>
  </w:num>
  <w:num w:numId="37">
    <w:abstractNumId w:val="22"/>
  </w:num>
  <w:num w:numId="38">
    <w:abstractNumId w:val="60"/>
  </w:num>
  <w:num w:numId="39">
    <w:abstractNumId w:val="59"/>
  </w:num>
  <w:num w:numId="40">
    <w:abstractNumId w:val="46"/>
  </w:num>
  <w:num w:numId="41">
    <w:abstractNumId w:val="16"/>
  </w:num>
  <w:num w:numId="42">
    <w:abstractNumId w:val="66"/>
  </w:num>
  <w:num w:numId="43">
    <w:abstractNumId w:val="21"/>
  </w:num>
  <w:num w:numId="44">
    <w:abstractNumId w:val="56"/>
  </w:num>
  <w:num w:numId="45">
    <w:abstractNumId w:val="38"/>
  </w:num>
  <w:num w:numId="46">
    <w:abstractNumId w:val="7"/>
  </w:num>
  <w:num w:numId="47">
    <w:abstractNumId w:val="19"/>
  </w:num>
  <w:num w:numId="48">
    <w:abstractNumId w:val="31"/>
  </w:num>
  <w:num w:numId="49">
    <w:abstractNumId w:val="39"/>
  </w:num>
  <w:num w:numId="50">
    <w:abstractNumId w:val="47"/>
  </w:num>
  <w:num w:numId="51">
    <w:abstractNumId w:val="51"/>
  </w:num>
  <w:num w:numId="52">
    <w:abstractNumId w:val="28"/>
  </w:num>
  <w:num w:numId="53">
    <w:abstractNumId w:val="1"/>
  </w:num>
  <w:num w:numId="54">
    <w:abstractNumId w:val="50"/>
  </w:num>
  <w:num w:numId="55">
    <w:abstractNumId w:val="13"/>
  </w:num>
  <w:num w:numId="56">
    <w:abstractNumId w:val="37"/>
  </w:num>
  <w:num w:numId="57">
    <w:abstractNumId w:val="64"/>
  </w:num>
  <w:num w:numId="58">
    <w:abstractNumId w:val="0"/>
  </w:num>
  <w:num w:numId="59">
    <w:abstractNumId w:val="43"/>
  </w:num>
  <w:num w:numId="60">
    <w:abstractNumId w:val="34"/>
  </w:num>
  <w:num w:numId="61">
    <w:abstractNumId w:val="12"/>
  </w:num>
  <w:num w:numId="62">
    <w:abstractNumId w:val="42"/>
  </w:num>
  <w:num w:numId="63">
    <w:abstractNumId w:val="15"/>
  </w:num>
  <w:num w:numId="64">
    <w:abstractNumId w:val="24"/>
  </w:num>
  <w:num w:numId="65">
    <w:abstractNumId w:val="41"/>
  </w:num>
  <w:num w:numId="66">
    <w:abstractNumId w:val="57"/>
  </w:num>
  <w:num w:numId="67">
    <w:abstractNumId w:val="30"/>
  </w:num>
  <w:num w:numId="68">
    <w:abstractNumId w:val="45"/>
  </w:num>
  <w:num w:numId="69">
    <w:abstractNumId w:val="44"/>
  </w:num>
  <w:num w:numId="70">
    <w:abstractNumId w:val="18"/>
  </w:num>
  <w:num w:numId="71">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9A"/>
    <w:rsid w:val="00000C92"/>
    <w:rsid w:val="00006E77"/>
    <w:rsid w:val="00012FB5"/>
    <w:rsid w:val="00014142"/>
    <w:rsid w:val="00021693"/>
    <w:rsid w:val="00023D45"/>
    <w:rsid w:val="00032223"/>
    <w:rsid w:val="00040DBD"/>
    <w:rsid w:val="00045316"/>
    <w:rsid w:val="00046594"/>
    <w:rsid w:val="00046E6C"/>
    <w:rsid w:val="00056413"/>
    <w:rsid w:val="000566C2"/>
    <w:rsid w:val="00057C99"/>
    <w:rsid w:val="0006437F"/>
    <w:rsid w:val="00073FE6"/>
    <w:rsid w:val="000777BE"/>
    <w:rsid w:val="00087962"/>
    <w:rsid w:val="00091E45"/>
    <w:rsid w:val="000A3B62"/>
    <w:rsid w:val="000A61B1"/>
    <w:rsid w:val="000F5852"/>
    <w:rsid w:val="00107668"/>
    <w:rsid w:val="0013171A"/>
    <w:rsid w:val="00133B27"/>
    <w:rsid w:val="00141683"/>
    <w:rsid w:val="001449E5"/>
    <w:rsid w:val="001456A7"/>
    <w:rsid w:val="001520BF"/>
    <w:rsid w:val="00163569"/>
    <w:rsid w:val="00164C99"/>
    <w:rsid w:val="00166230"/>
    <w:rsid w:val="00170568"/>
    <w:rsid w:val="00171F55"/>
    <w:rsid w:val="0017238E"/>
    <w:rsid w:val="0017560E"/>
    <w:rsid w:val="0017630A"/>
    <w:rsid w:val="00176D23"/>
    <w:rsid w:val="00185F74"/>
    <w:rsid w:val="001878EE"/>
    <w:rsid w:val="001A177E"/>
    <w:rsid w:val="001B7EA6"/>
    <w:rsid w:val="001C2535"/>
    <w:rsid w:val="001C4E01"/>
    <w:rsid w:val="001C50F1"/>
    <w:rsid w:val="001C566A"/>
    <w:rsid w:val="001D0D45"/>
    <w:rsid w:val="001D2253"/>
    <w:rsid w:val="001D2D89"/>
    <w:rsid w:val="001E7EC1"/>
    <w:rsid w:val="001F0BEE"/>
    <w:rsid w:val="001F7334"/>
    <w:rsid w:val="00200060"/>
    <w:rsid w:val="00206D8E"/>
    <w:rsid w:val="00210524"/>
    <w:rsid w:val="00230A32"/>
    <w:rsid w:val="00234A4A"/>
    <w:rsid w:val="002357EA"/>
    <w:rsid w:val="00245175"/>
    <w:rsid w:val="0024594A"/>
    <w:rsid w:val="00261EB1"/>
    <w:rsid w:val="002638CB"/>
    <w:rsid w:val="00264B71"/>
    <w:rsid w:val="00267F21"/>
    <w:rsid w:val="00275B0D"/>
    <w:rsid w:val="002837CA"/>
    <w:rsid w:val="0029214B"/>
    <w:rsid w:val="002A44F2"/>
    <w:rsid w:val="002B2B21"/>
    <w:rsid w:val="002B4C29"/>
    <w:rsid w:val="002B6E58"/>
    <w:rsid w:val="002C3968"/>
    <w:rsid w:val="002C5D5B"/>
    <w:rsid w:val="002D2957"/>
    <w:rsid w:val="002D5E39"/>
    <w:rsid w:val="002D6A2D"/>
    <w:rsid w:val="002F3921"/>
    <w:rsid w:val="002F6B56"/>
    <w:rsid w:val="00300B2B"/>
    <w:rsid w:val="003123E2"/>
    <w:rsid w:val="00314EB7"/>
    <w:rsid w:val="003170A6"/>
    <w:rsid w:val="003228DE"/>
    <w:rsid w:val="003234E3"/>
    <w:rsid w:val="00325244"/>
    <w:rsid w:val="00327C92"/>
    <w:rsid w:val="00334EA9"/>
    <w:rsid w:val="003410CB"/>
    <w:rsid w:val="00342D94"/>
    <w:rsid w:val="0034303A"/>
    <w:rsid w:val="00344267"/>
    <w:rsid w:val="00344C0A"/>
    <w:rsid w:val="00350E81"/>
    <w:rsid w:val="0035317E"/>
    <w:rsid w:val="00363605"/>
    <w:rsid w:val="00365510"/>
    <w:rsid w:val="003671EF"/>
    <w:rsid w:val="0037103D"/>
    <w:rsid w:val="00376CE4"/>
    <w:rsid w:val="00385A64"/>
    <w:rsid w:val="003A3010"/>
    <w:rsid w:val="003A4281"/>
    <w:rsid w:val="003C2841"/>
    <w:rsid w:val="003C5D18"/>
    <w:rsid w:val="003D728A"/>
    <w:rsid w:val="003E3670"/>
    <w:rsid w:val="00401C12"/>
    <w:rsid w:val="00412026"/>
    <w:rsid w:val="00412B1B"/>
    <w:rsid w:val="0042051F"/>
    <w:rsid w:val="00420DC5"/>
    <w:rsid w:val="00422644"/>
    <w:rsid w:val="0042758C"/>
    <w:rsid w:val="004304F3"/>
    <w:rsid w:val="00434D38"/>
    <w:rsid w:val="0044367A"/>
    <w:rsid w:val="00443D88"/>
    <w:rsid w:val="004528E4"/>
    <w:rsid w:val="00455312"/>
    <w:rsid w:val="00456330"/>
    <w:rsid w:val="00461E9A"/>
    <w:rsid w:val="0047326E"/>
    <w:rsid w:val="00473E46"/>
    <w:rsid w:val="00482136"/>
    <w:rsid w:val="004A2094"/>
    <w:rsid w:val="004A25C1"/>
    <w:rsid w:val="004B1C95"/>
    <w:rsid w:val="004B68B0"/>
    <w:rsid w:val="004C124B"/>
    <w:rsid w:val="004C20DF"/>
    <w:rsid w:val="004C2C09"/>
    <w:rsid w:val="004C7F61"/>
    <w:rsid w:val="004D2624"/>
    <w:rsid w:val="004D5537"/>
    <w:rsid w:val="004D5A95"/>
    <w:rsid w:val="004E0086"/>
    <w:rsid w:val="004E0D07"/>
    <w:rsid w:val="004E348B"/>
    <w:rsid w:val="004F30B4"/>
    <w:rsid w:val="005002BC"/>
    <w:rsid w:val="00500416"/>
    <w:rsid w:val="00501153"/>
    <w:rsid w:val="005120F5"/>
    <w:rsid w:val="0051610D"/>
    <w:rsid w:val="00526EA6"/>
    <w:rsid w:val="00533E75"/>
    <w:rsid w:val="00555DDF"/>
    <w:rsid w:val="0057300F"/>
    <w:rsid w:val="005774A3"/>
    <w:rsid w:val="005817AD"/>
    <w:rsid w:val="00585FCA"/>
    <w:rsid w:val="00596060"/>
    <w:rsid w:val="00597E1A"/>
    <w:rsid w:val="005A0862"/>
    <w:rsid w:val="005A1329"/>
    <w:rsid w:val="005A6EC1"/>
    <w:rsid w:val="005B755A"/>
    <w:rsid w:val="005C22B7"/>
    <w:rsid w:val="005C4A1A"/>
    <w:rsid w:val="005C745F"/>
    <w:rsid w:val="005D043D"/>
    <w:rsid w:val="005D533E"/>
    <w:rsid w:val="005D5B7A"/>
    <w:rsid w:val="005D5E77"/>
    <w:rsid w:val="005D72E4"/>
    <w:rsid w:val="005D752D"/>
    <w:rsid w:val="005E250A"/>
    <w:rsid w:val="005E2C79"/>
    <w:rsid w:val="005E4FBF"/>
    <w:rsid w:val="005F20EE"/>
    <w:rsid w:val="005F6AF7"/>
    <w:rsid w:val="00600CC6"/>
    <w:rsid w:val="006065B1"/>
    <w:rsid w:val="00606F36"/>
    <w:rsid w:val="00634374"/>
    <w:rsid w:val="00636618"/>
    <w:rsid w:val="00660580"/>
    <w:rsid w:val="006728CF"/>
    <w:rsid w:val="00685A7C"/>
    <w:rsid w:val="00686B29"/>
    <w:rsid w:val="00687997"/>
    <w:rsid w:val="00687B58"/>
    <w:rsid w:val="00697E58"/>
    <w:rsid w:val="006B15E7"/>
    <w:rsid w:val="006C4644"/>
    <w:rsid w:val="006C7896"/>
    <w:rsid w:val="006C7BD2"/>
    <w:rsid w:val="006F0A88"/>
    <w:rsid w:val="006F410F"/>
    <w:rsid w:val="006F4C7D"/>
    <w:rsid w:val="006F74DC"/>
    <w:rsid w:val="00705E37"/>
    <w:rsid w:val="007115F7"/>
    <w:rsid w:val="00717E35"/>
    <w:rsid w:val="007275CC"/>
    <w:rsid w:val="0073148F"/>
    <w:rsid w:val="00744E17"/>
    <w:rsid w:val="007548ED"/>
    <w:rsid w:val="0076153A"/>
    <w:rsid w:val="00764929"/>
    <w:rsid w:val="00765B3E"/>
    <w:rsid w:val="00767125"/>
    <w:rsid w:val="0077457D"/>
    <w:rsid w:val="007755ED"/>
    <w:rsid w:val="00775CCB"/>
    <w:rsid w:val="00780FEE"/>
    <w:rsid w:val="007914B2"/>
    <w:rsid w:val="00797A38"/>
    <w:rsid w:val="007A329C"/>
    <w:rsid w:val="007A32BA"/>
    <w:rsid w:val="007A4ED2"/>
    <w:rsid w:val="007A4EDB"/>
    <w:rsid w:val="007A61CD"/>
    <w:rsid w:val="007A6982"/>
    <w:rsid w:val="007A7DAD"/>
    <w:rsid w:val="007B11F2"/>
    <w:rsid w:val="007C5333"/>
    <w:rsid w:val="007C647A"/>
    <w:rsid w:val="007D2559"/>
    <w:rsid w:val="007D31DB"/>
    <w:rsid w:val="007D43F2"/>
    <w:rsid w:val="007D72F7"/>
    <w:rsid w:val="007E51E4"/>
    <w:rsid w:val="007E6B14"/>
    <w:rsid w:val="007F03E7"/>
    <w:rsid w:val="007F70A3"/>
    <w:rsid w:val="00817E32"/>
    <w:rsid w:val="00823D5B"/>
    <w:rsid w:val="00826CA7"/>
    <w:rsid w:val="0085219C"/>
    <w:rsid w:val="00863531"/>
    <w:rsid w:val="00875363"/>
    <w:rsid w:val="00891B3C"/>
    <w:rsid w:val="0089684C"/>
    <w:rsid w:val="008A5856"/>
    <w:rsid w:val="008C5010"/>
    <w:rsid w:val="008C5F60"/>
    <w:rsid w:val="008C776C"/>
    <w:rsid w:val="008D5D2D"/>
    <w:rsid w:val="008E1508"/>
    <w:rsid w:val="008E258E"/>
    <w:rsid w:val="008F2D2A"/>
    <w:rsid w:val="008F61E4"/>
    <w:rsid w:val="0092111B"/>
    <w:rsid w:val="0093723A"/>
    <w:rsid w:val="00946653"/>
    <w:rsid w:val="00952D5B"/>
    <w:rsid w:val="0095585F"/>
    <w:rsid w:val="00965AA6"/>
    <w:rsid w:val="00983B24"/>
    <w:rsid w:val="00990BF6"/>
    <w:rsid w:val="009914AB"/>
    <w:rsid w:val="00992EB3"/>
    <w:rsid w:val="009975F3"/>
    <w:rsid w:val="009A23C7"/>
    <w:rsid w:val="009A2837"/>
    <w:rsid w:val="009A3799"/>
    <w:rsid w:val="009A576F"/>
    <w:rsid w:val="009B0526"/>
    <w:rsid w:val="009B14E3"/>
    <w:rsid w:val="009B2BF5"/>
    <w:rsid w:val="009B4CA4"/>
    <w:rsid w:val="009C153D"/>
    <w:rsid w:val="009D7602"/>
    <w:rsid w:val="00A01E59"/>
    <w:rsid w:val="00A074B1"/>
    <w:rsid w:val="00A1475F"/>
    <w:rsid w:val="00A17023"/>
    <w:rsid w:val="00A21227"/>
    <w:rsid w:val="00A26571"/>
    <w:rsid w:val="00A35517"/>
    <w:rsid w:val="00A4221D"/>
    <w:rsid w:val="00A44F51"/>
    <w:rsid w:val="00A512FB"/>
    <w:rsid w:val="00A516C5"/>
    <w:rsid w:val="00A64B10"/>
    <w:rsid w:val="00A707E9"/>
    <w:rsid w:val="00A7681A"/>
    <w:rsid w:val="00A82C84"/>
    <w:rsid w:val="00A87A47"/>
    <w:rsid w:val="00A90E2D"/>
    <w:rsid w:val="00A94452"/>
    <w:rsid w:val="00A951BD"/>
    <w:rsid w:val="00AB1E23"/>
    <w:rsid w:val="00AC76AB"/>
    <w:rsid w:val="00AD04DE"/>
    <w:rsid w:val="00AD2DBE"/>
    <w:rsid w:val="00AD357F"/>
    <w:rsid w:val="00AD48D3"/>
    <w:rsid w:val="00AD5D32"/>
    <w:rsid w:val="00AE224C"/>
    <w:rsid w:val="00AE2ECC"/>
    <w:rsid w:val="00AE639C"/>
    <w:rsid w:val="00B016E8"/>
    <w:rsid w:val="00B10835"/>
    <w:rsid w:val="00B13BD7"/>
    <w:rsid w:val="00B154F8"/>
    <w:rsid w:val="00B2055D"/>
    <w:rsid w:val="00B31B6F"/>
    <w:rsid w:val="00B373A2"/>
    <w:rsid w:val="00B37486"/>
    <w:rsid w:val="00B420D4"/>
    <w:rsid w:val="00B60B65"/>
    <w:rsid w:val="00B67B57"/>
    <w:rsid w:val="00B67D5C"/>
    <w:rsid w:val="00B74DB9"/>
    <w:rsid w:val="00B823E2"/>
    <w:rsid w:val="00B8469B"/>
    <w:rsid w:val="00B912D9"/>
    <w:rsid w:val="00B95328"/>
    <w:rsid w:val="00BA3E19"/>
    <w:rsid w:val="00BA63C9"/>
    <w:rsid w:val="00BA7892"/>
    <w:rsid w:val="00BC2659"/>
    <w:rsid w:val="00BC2DC2"/>
    <w:rsid w:val="00BD63D3"/>
    <w:rsid w:val="00BE527B"/>
    <w:rsid w:val="00BE69CE"/>
    <w:rsid w:val="00C05B8B"/>
    <w:rsid w:val="00C069A4"/>
    <w:rsid w:val="00C1026C"/>
    <w:rsid w:val="00C12A95"/>
    <w:rsid w:val="00C212F9"/>
    <w:rsid w:val="00C361C3"/>
    <w:rsid w:val="00C40DE4"/>
    <w:rsid w:val="00C41FAE"/>
    <w:rsid w:val="00C4608F"/>
    <w:rsid w:val="00C566FD"/>
    <w:rsid w:val="00C66EDB"/>
    <w:rsid w:val="00C76D6D"/>
    <w:rsid w:val="00C8135B"/>
    <w:rsid w:val="00C81585"/>
    <w:rsid w:val="00C915B2"/>
    <w:rsid w:val="00C9161F"/>
    <w:rsid w:val="00C96493"/>
    <w:rsid w:val="00C97DAF"/>
    <w:rsid w:val="00CA0752"/>
    <w:rsid w:val="00CC2365"/>
    <w:rsid w:val="00CC4264"/>
    <w:rsid w:val="00CC579B"/>
    <w:rsid w:val="00CE5B76"/>
    <w:rsid w:val="00CF4869"/>
    <w:rsid w:val="00CF62E6"/>
    <w:rsid w:val="00CF7778"/>
    <w:rsid w:val="00D000C1"/>
    <w:rsid w:val="00D110DF"/>
    <w:rsid w:val="00D16562"/>
    <w:rsid w:val="00D226BB"/>
    <w:rsid w:val="00D3093A"/>
    <w:rsid w:val="00D4121E"/>
    <w:rsid w:val="00D42A55"/>
    <w:rsid w:val="00D42B10"/>
    <w:rsid w:val="00D64569"/>
    <w:rsid w:val="00D85921"/>
    <w:rsid w:val="00D96BAB"/>
    <w:rsid w:val="00DA6591"/>
    <w:rsid w:val="00DC188F"/>
    <w:rsid w:val="00DC56E2"/>
    <w:rsid w:val="00DC5C75"/>
    <w:rsid w:val="00DD1E63"/>
    <w:rsid w:val="00DF191A"/>
    <w:rsid w:val="00E0086E"/>
    <w:rsid w:val="00E20087"/>
    <w:rsid w:val="00E209E1"/>
    <w:rsid w:val="00E20F34"/>
    <w:rsid w:val="00E2105F"/>
    <w:rsid w:val="00E21FFF"/>
    <w:rsid w:val="00E31BF7"/>
    <w:rsid w:val="00E46443"/>
    <w:rsid w:val="00E5054C"/>
    <w:rsid w:val="00E83D8D"/>
    <w:rsid w:val="00E83DC5"/>
    <w:rsid w:val="00E904A8"/>
    <w:rsid w:val="00E91C5F"/>
    <w:rsid w:val="00EA0402"/>
    <w:rsid w:val="00EA095A"/>
    <w:rsid w:val="00EA4599"/>
    <w:rsid w:val="00EA7AEA"/>
    <w:rsid w:val="00EB1EDB"/>
    <w:rsid w:val="00EB63A8"/>
    <w:rsid w:val="00EB65FF"/>
    <w:rsid w:val="00EB7B71"/>
    <w:rsid w:val="00EC5D09"/>
    <w:rsid w:val="00EF4FDC"/>
    <w:rsid w:val="00EF5A4C"/>
    <w:rsid w:val="00EF6011"/>
    <w:rsid w:val="00F03B15"/>
    <w:rsid w:val="00F05B43"/>
    <w:rsid w:val="00F148A6"/>
    <w:rsid w:val="00F17DAB"/>
    <w:rsid w:val="00F24772"/>
    <w:rsid w:val="00F2498A"/>
    <w:rsid w:val="00F26220"/>
    <w:rsid w:val="00F27EB8"/>
    <w:rsid w:val="00F307E3"/>
    <w:rsid w:val="00F33AD1"/>
    <w:rsid w:val="00F3472A"/>
    <w:rsid w:val="00F35EA2"/>
    <w:rsid w:val="00F53C88"/>
    <w:rsid w:val="00F5630A"/>
    <w:rsid w:val="00F577A1"/>
    <w:rsid w:val="00F65049"/>
    <w:rsid w:val="00F65571"/>
    <w:rsid w:val="00F7401E"/>
    <w:rsid w:val="00F77B41"/>
    <w:rsid w:val="00F80191"/>
    <w:rsid w:val="00F86B43"/>
    <w:rsid w:val="00F938F5"/>
    <w:rsid w:val="00F95E34"/>
    <w:rsid w:val="00FA45AB"/>
    <w:rsid w:val="00FA6FFA"/>
    <w:rsid w:val="00FC2AEF"/>
    <w:rsid w:val="00FC34B1"/>
    <w:rsid w:val="00FC429E"/>
    <w:rsid w:val="00FC5081"/>
    <w:rsid w:val="00FC7505"/>
    <w:rsid w:val="00FD1902"/>
    <w:rsid w:val="00FD6660"/>
    <w:rsid w:val="00FF6589"/>
    <w:rsid w:val="00FF6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2C79"/>
    <w:pPr>
      <w:keepNext/>
      <w:spacing w:after="240"/>
      <w:jc w:val="both"/>
      <w:outlineLvl w:val="0"/>
    </w:pPr>
    <w:rPr>
      <w:rFonts w:ascii="Book Antiqua" w:eastAsia="Times New Roman" w:hAnsi="Book Antiqua" w:cs="Times New Roman"/>
      <w:b/>
      <w:sz w:val="32"/>
      <w:szCs w:val="20"/>
    </w:rPr>
  </w:style>
  <w:style w:type="paragraph" w:styleId="Heading2">
    <w:name w:val="heading 2"/>
    <w:basedOn w:val="Normal"/>
    <w:next w:val="Normal"/>
    <w:link w:val="Heading2Char"/>
    <w:qFormat/>
    <w:rsid w:val="005E2C79"/>
    <w:pPr>
      <w:keepNext/>
      <w:spacing w:after="240"/>
      <w:jc w:val="both"/>
      <w:outlineLvl w:val="1"/>
    </w:pPr>
    <w:rPr>
      <w:rFonts w:ascii="Book Antiqua" w:eastAsia="Times New Roman" w:hAnsi="Book Antiqua" w:cs="Times New Roman"/>
      <w:b/>
      <w:sz w:val="28"/>
      <w:szCs w:val="20"/>
    </w:rPr>
  </w:style>
  <w:style w:type="paragraph" w:styleId="Heading3">
    <w:name w:val="heading 3"/>
    <w:basedOn w:val="Normal"/>
    <w:next w:val="Normal"/>
    <w:link w:val="Heading3Char"/>
    <w:qFormat/>
    <w:rsid w:val="005E2C79"/>
    <w:pPr>
      <w:keepNext/>
      <w:spacing w:after="240"/>
      <w:jc w:val="both"/>
      <w:outlineLvl w:val="2"/>
    </w:pPr>
    <w:rPr>
      <w:rFonts w:ascii="Book Antiqua" w:eastAsia="Times New Roman" w:hAnsi="Book Antiqu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E9A"/>
    <w:pPr>
      <w:tabs>
        <w:tab w:val="center" w:pos="4513"/>
        <w:tab w:val="right" w:pos="9026"/>
      </w:tabs>
    </w:pPr>
  </w:style>
  <w:style w:type="character" w:customStyle="1" w:styleId="HeaderChar">
    <w:name w:val="Header Char"/>
    <w:basedOn w:val="DefaultParagraphFont"/>
    <w:link w:val="Header"/>
    <w:uiPriority w:val="99"/>
    <w:rsid w:val="00461E9A"/>
  </w:style>
  <w:style w:type="paragraph" w:styleId="Footer">
    <w:name w:val="footer"/>
    <w:basedOn w:val="Normal"/>
    <w:link w:val="FooterChar"/>
    <w:uiPriority w:val="99"/>
    <w:unhideWhenUsed/>
    <w:rsid w:val="00461E9A"/>
    <w:pPr>
      <w:tabs>
        <w:tab w:val="center" w:pos="4513"/>
        <w:tab w:val="right" w:pos="9026"/>
      </w:tabs>
    </w:pPr>
  </w:style>
  <w:style w:type="character" w:customStyle="1" w:styleId="FooterChar">
    <w:name w:val="Footer Char"/>
    <w:basedOn w:val="DefaultParagraphFont"/>
    <w:link w:val="Footer"/>
    <w:uiPriority w:val="99"/>
    <w:rsid w:val="00461E9A"/>
  </w:style>
  <w:style w:type="table" w:styleId="TableGrid">
    <w:name w:val="Table Grid"/>
    <w:basedOn w:val="TableNormal"/>
    <w:rsid w:val="00461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535"/>
    <w:pPr>
      <w:ind w:left="720"/>
      <w:contextualSpacing/>
    </w:pPr>
  </w:style>
  <w:style w:type="character" w:styleId="Hyperlink">
    <w:name w:val="Hyperlink"/>
    <w:basedOn w:val="DefaultParagraphFont"/>
    <w:rsid w:val="00E20087"/>
    <w:rPr>
      <w:color w:val="0000FF"/>
      <w:u w:val="single"/>
    </w:rPr>
  </w:style>
  <w:style w:type="character" w:customStyle="1" w:styleId="Heading1Char">
    <w:name w:val="Heading 1 Char"/>
    <w:basedOn w:val="DefaultParagraphFont"/>
    <w:link w:val="Heading1"/>
    <w:rsid w:val="005E2C79"/>
    <w:rPr>
      <w:rFonts w:ascii="Book Antiqua" w:eastAsia="Times New Roman" w:hAnsi="Book Antiqua" w:cs="Times New Roman"/>
      <w:b/>
      <w:sz w:val="32"/>
      <w:szCs w:val="20"/>
    </w:rPr>
  </w:style>
  <w:style w:type="character" w:customStyle="1" w:styleId="Heading2Char">
    <w:name w:val="Heading 2 Char"/>
    <w:basedOn w:val="DefaultParagraphFont"/>
    <w:link w:val="Heading2"/>
    <w:rsid w:val="005E2C79"/>
    <w:rPr>
      <w:rFonts w:ascii="Book Antiqua" w:eastAsia="Times New Roman" w:hAnsi="Book Antiqua" w:cs="Times New Roman"/>
      <w:b/>
      <w:sz w:val="28"/>
      <w:szCs w:val="20"/>
    </w:rPr>
  </w:style>
  <w:style w:type="character" w:customStyle="1" w:styleId="Heading3Char">
    <w:name w:val="Heading 3 Char"/>
    <w:basedOn w:val="DefaultParagraphFont"/>
    <w:link w:val="Heading3"/>
    <w:rsid w:val="005E2C79"/>
    <w:rPr>
      <w:rFonts w:ascii="Book Antiqua" w:eastAsia="Times New Roman" w:hAnsi="Book Antiqua" w:cs="Times New Roman"/>
      <w:b/>
      <w:sz w:val="24"/>
      <w:szCs w:val="20"/>
    </w:rPr>
  </w:style>
  <w:style w:type="paragraph" w:customStyle="1" w:styleId="introtext">
    <w:name w:val="introtext"/>
    <w:basedOn w:val="Normal"/>
    <w:rsid w:val="005E2C79"/>
    <w:pPr>
      <w:spacing w:before="100" w:beforeAutospacing="1" w:after="100" w:afterAutospacing="1"/>
    </w:pPr>
    <w:rPr>
      <w:rFonts w:ascii="Times New Roman" w:eastAsia="Times New Roman" w:hAnsi="Times New Roman" w:cs="Times New Roman"/>
      <w:sz w:val="24"/>
      <w:szCs w:val="24"/>
      <w:lang w:val="en-US" w:eastAsia="ko-KR"/>
    </w:rPr>
  </w:style>
  <w:style w:type="paragraph" w:customStyle="1" w:styleId="Default">
    <w:name w:val="Default"/>
    <w:rsid w:val="005E2C79"/>
    <w:pPr>
      <w:autoSpaceDE w:val="0"/>
      <w:autoSpaceDN w:val="0"/>
      <w:adjustRightInd w:val="0"/>
    </w:pPr>
    <w:rPr>
      <w:rFonts w:eastAsia="Calibri" w:cs="Arial"/>
      <w:color w:val="000000"/>
      <w:sz w:val="24"/>
      <w:szCs w:val="24"/>
    </w:rPr>
  </w:style>
  <w:style w:type="paragraph" w:styleId="BalloonText">
    <w:name w:val="Balloon Text"/>
    <w:basedOn w:val="Normal"/>
    <w:link w:val="BalloonTextChar"/>
    <w:uiPriority w:val="99"/>
    <w:semiHidden/>
    <w:unhideWhenUsed/>
    <w:rsid w:val="005E2C79"/>
    <w:rPr>
      <w:rFonts w:ascii="Tahoma" w:hAnsi="Tahoma" w:cs="Tahoma"/>
      <w:sz w:val="16"/>
      <w:szCs w:val="16"/>
    </w:rPr>
  </w:style>
  <w:style w:type="character" w:customStyle="1" w:styleId="BalloonTextChar">
    <w:name w:val="Balloon Text Char"/>
    <w:basedOn w:val="DefaultParagraphFont"/>
    <w:link w:val="BalloonText"/>
    <w:uiPriority w:val="99"/>
    <w:semiHidden/>
    <w:rsid w:val="005E2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2C79"/>
    <w:pPr>
      <w:keepNext/>
      <w:spacing w:after="240"/>
      <w:jc w:val="both"/>
      <w:outlineLvl w:val="0"/>
    </w:pPr>
    <w:rPr>
      <w:rFonts w:ascii="Book Antiqua" w:eastAsia="Times New Roman" w:hAnsi="Book Antiqua" w:cs="Times New Roman"/>
      <w:b/>
      <w:sz w:val="32"/>
      <w:szCs w:val="20"/>
    </w:rPr>
  </w:style>
  <w:style w:type="paragraph" w:styleId="Heading2">
    <w:name w:val="heading 2"/>
    <w:basedOn w:val="Normal"/>
    <w:next w:val="Normal"/>
    <w:link w:val="Heading2Char"/>
    <w:qFormat/>
    <w:rsid w:val="005E2C79"/>
    <w:pPr>
      <w:keepNext/>
      <w:spacing w:after="240"/>
      <w:jc w:val="both"/>
      <w:outlineLvl w:val="1"/>
    </w:pPr>
    <w:rPr>
      <w:rFonts w:ascii="Book Antiqua" w:eastAsia="Times New Roman" w:hAnsi="Book Antiqua" w:cs="Times New Roman"/>
      <w:b/>
      <w:sz w:val="28"/>
      <w:szCs w:val="20"/>
    </w:rPr>
  </w:style>
  <w:style w:type="paragraph" w:styleId="Heading3">
    <w:name w:val="heading 3"/>
    <w:basedOn w:val="Normal"/>
    <w:next w:val="Normal"/>
    <w:link w:val="Heading3Char"/>
    <w:qFormat/>
    <w:rsid w:val="005E2C79"/>
    <w:pPr>
      <w:keepNext/>
      <w:spacing w:after="240"/>
      <w:jc w:val="both"/>
      <w:outlineLvl w:val="2"/>
    </w:pPr>
    <w:rPr>
      <w:rFonts w:ascii="Book Antiqua" w:eastAsia="Times New Roman" w:hAnsi="Book Antiqu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E9A"/>
    <w:pPr>
      <w:tabs>
        <w:tab w:val="center" w:pos="4513"/>
        <w:tab w:val="right" w:pos="9026"/>
      </w:tabs>
    </w:pPr>
  </w:style>
  <w:style w:type="character" w:customStyle="1" w:styleId="HeaderChar">
    <w:name w:val="Header Char"/>
    <w:basedOn w:val="DefaultParagraphFont"/>
    <w:link w:val="Header"/>
    <w:uiPriority w:val="99"/>
    <w:rsid w:val="00461E9A"/>
  </w:style>
  <w:style w:type="paragraph" w:styleId="Footer">
    <w:name w:val="footer"/>
    <w:basedOn w:val="Normal"/>
    <w:link w:val="FooterChar"/>
    <w:uiPriority w:val="99"/>
    <w:unhideWhenUsed/>
    <w:rsid w:val="00461E9A"/>
    <w:pPr>
      <w:tabs>
        <w:tab w:val="center" w:pos="4513"/>
        <w:tab w:val="right" w:pos="9026"/>
      </w:tabs>
    </w:pPr>
  </w:style>
  <w:style w:type="character" w:customStyle="1" w:styleId="FooterChar">
    <w:name w:val="Footer Char"/>
    <w:basedOn w:val="DefaultParagraphFont"/>
    <w:link w:val="Footer"/>
    <w:uiPriority w:val="99"/>
    <w:rsid w:val="00461E9A"/>
  </w:style>
  <w:style w:type="table" w:styleId="TableGrid">
    <w:name w:val="Table Grid"/>
    <w:basedOn w:val="TableNormal"/>
    <w:rsid w:val="00461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535"/>
    <w:pPr>
      <w:ind w:left="720"/>
      <w:contextualSpacing/>
    </w:pPr>
  </w:style>
  <w:style w:type="character" w:styleId="Hyperlink">
    <w:name w:val="Hyperlink"/>
    <w:basedOn w:val="DefaultParagraphFont"/>
    <w:rsid w:val="00E20087"/>
    <w:rPr>
      <w:color w:val="0000FF"/>
      <w:u w:val="single"/>
    </w:rPr>
  </w:style>
  <w:style w:type="character" w:customStyle="1" w:styleId="Heading1Char">
    <w:name w:val="Heading 1 Char"/>
    <w:basedOn w:val="DefaultParagraphFont"/>
    <w:link w:val="Heading1"/>
    <w:rsid w:val="005E2C79"/>
    <w:rPr>
      <w:rFonts w:ascii="Book Antiqua" w:eastAsia="Times New Roman" w:hAnsi="Book Antiqua" w:cs="Times New Roman"/>
      <w:b/>
      <w:sz w:val="32"/>
      <w:szCs w:val="20"/>
    </w:rPr>
  </w:style>
  <w:style w:type="character" w:customStyle="1" w:styleId="Heading2Char">
    <w:name w:val="Heading 2 Char"/>
    <w:basedOn w:val="DefaultParagraphFont"/>
    <w:link w:val="Heading2"/>
    <w:rsid w:val="005E2C79"/>
    <w:rPr>
      <w:rFonts w:ascii="Book Antiqua" w:eastAsia="Times New Roman" w:hAnsi="Book Antiqua" w:cs="Times New Roman"/>
      <w:b/>
      <w:sz w:val="28"/>
      <w:szCs w:val="20"/>
    </w:rPr>
  </w:style>
  <w:style w:type="character" w:customStyle="1" w:styleId="Heading3Char">
    <w:name w:val="Heading 3 Char"/>
    <w:basedOn w:val="DefaultParagraphFont"/>
    <w:link w:val="Heading3"/>
    <w:rsid w:val="005E2C79"/>
    <w:rPr>
      <w:rFonts w:ascii="Book Antiqua" w:eastAsia="Times New Roman" w:hAnsi="Book Antiqua" w:cs="Times New Roman"/>
      <w:b/>
      <w:sz w:val="24"/>
      <w:szCs w:val="20"/>
    </w:rPr>
  </w:style>
  <w:style w:type="paragraph" w:customStyle="1" w:styleId="introtext">
    <w:name w:val="introtext"/>
    <w:basedOn w:val="Normal"/>
    <w:rsid w:val="005E2C79"/>
    <w:pPr>
      <w:spacing w:before="100" w:beforeAutospacing="1" w:after="100" w:afterAutospacing="1"/>
    </w:pPr>
    <w:rPr>
      <w:rFonts w:ascii="Times New Roman" w:eastAsia="Times New Roman" w:hAnsi="Times New Roman" w:cs="Times New Roman"/>
      <w:sz w:val="24"/>
      <w:szCs w:val="24"/>
      <w:lang w:val="en-US" w:eastAsia="ko-KR"/>
    </w:rPr>
  </w:style>
  <w:style w:type="paragraph" w:customStyle="1" w:styleId="Default">
    <w:name w:val="Default"/>
    <w:rsid w:val="005E2C79"/>
    <w:pPr>
      <w:autoSpaceDE w:val="0"/>
      <w:autoSpaceDN w:val="0"/>
      <w:adjustRightInd w:val="0"/>
    </w:pPr>
    <w:rPr>
      <w:rFonts w:eastAsia="Calibri" w:cs="Arial"/>
      <w:color w:val="000000"/>
      <w:sz w:val="24"/>
      <w:szCs w:val="24"/>
    </w:rPr>
  </w:style>
  <w:style w:type="paragraph" w:styleId="BalloonText">
    <w:name w:val="Balloon Text"/>
    <w:basedOn w:val="Normal"/>
    <w:link w:val="BalloonTextChar"/>
    <w:uiPriority w:val="99"/>
    <w:semiHidden/>
    <w:unhideWhenUsed/>
    <w:rsid w:val="005E2C79"/>
    <w:rPr>
      <w:rFonts w:ascii="Tahoma" w:hAnsi="Tahoma" w:cs="Tahoma"/>
      <w:sz w:val="16"/>
      <w:szCs w:val="16"/>
    </w:rPr>
  </w:style>
  <w:style w:type="character" w:customStyle="1" w:styleId="BalloonTextChar">
    <w:name w:val="Balloon Text Char"/>
    <w:basedOn w:val="DefaultParagraphFont"/>
    <w:link w:val="BalloonText"/>
    <w:uiPriority w:val="99"/>
    <w:semiHidden/>
    <w:rsid w:val="005E2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397">
      <w:bodyDiv w:val="1"/>
      <w:marLeft w:val="0"/>
      <w:marRight w:val="0"/>
      <w:marTop w:val="0"/>
      <w:marBottom w:val="0"/>
      <w:divBdr>
        <w:top w:val="none" w:sz="0" w:space="0" w:color="auto"/>
        <w:left w:val="none" w:sz="0" w:space="0" w:color="auto"/>
        <w:bottom w:val="none" w:sz="0" w:space="0" w:color="auto"/>
        <w:right w:val="none" w:sz="0" w:space="0" w:color="auto"/>
      </w:divBdr>
      <w:divsChild>
        <w:div w:id="890849058">
          <w:marLeft w:val="0"/>
          <w:marRight w:val="0"/>
          <w:marTop w:val="0"/>
          <w:marBottom w:val="0"/>
          <w:divBdr>
            <w:top w:val="none" w:sz="0" w:space="0" w:color="auto"/>
            <w:left w:val="none" w:sz="0" w:space="0" w:color="auto"/>
            <w:bottom w:val="none" w:sz="0" w:space="0" w:color="auto"/>
            <w:right w:val="none" w:sz="0" w:space="0" w:color="auto"/>
          </w:divBdr>
          <w:divsChild>
            <w:div w:id="1918980974">
              <w:marLeft w:val="0"/>
              <w:marRight w:val="0"/>
              <w:marTop w:val="0"/>
              <w:marBottom w:val="0"/>
              <w:divBdr>
                <w:top w:val="none" w:sz="0" w:space="0" w:color="auto"/>
                <w:left w:val="none" w:sz="0" w:space="0" w:color="auto"/>
                <w:bottom w:val="none" w:sz="0" w:space="0" w:color="auto"/>
                <w:right w:val="none" w:sz="0" w:space="0" w:color="auto"/>
              </w:divBdr>
              <w:divsChild>
                <w:div w:id="13583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2166">
      <w:bodyDiv w:val="1"/>
      <w:marLeft w:val="0"/>
      <w:marRight w:val="0"/>
      <w:marTop w:val="0"/>
      <w:marBottom w:val="0"/>
      <w:divBdr>
        <w:top w:val="none" w:sz="0" w:space="0" w:color="auto"/>
        <w:left w:val="none" w:sz="0" w:space="0" w:color="auto"/>
        <w:bottom w:val="none" w:sz="0" w:space="0" w:color="auto"/>
        <w:right w:val="none" w:sz="0" w:space="0" w:color="auto"/>
      </w:divBdr>
    </w:div>
    <w:div w:id="61895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vid.porter6@nh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EF937C-ECCF-4EB1-9B48-B6A508D048C6}" type="doc">
      <dgm:prSet loTypeId="urn:microsoft.com/office/officeart/2005/8/layout/radial1" loCatId="relationship" qsTypeId="urn:microsoft.com/office/officeart/2005/8/quickstyle/simple1" qsCatId="simple" csTypeId="urn:microsoft.com/office/officeart/2005/8/colors/accent1_2" csCatId="accent1" phldr="1"/>
      <dgm:spPr/>
    </dgm:pt>
    <dgm:pt modelId="{A56156AF-C0D8-42D6-9229-FE44997E9BD6}">
      <dgm:prSet custT="1"/>
      <dgm:spPr>
        <a:solidFill>
          <a:schemeClr val="accent1">
            <a:lumMod val="40000"/>
            <a:lumOff val="60000"/>
          </a:schemeClr>
        </a:solidFill>
        <a:ln w="12700">
          <a:solidFill>
            <a:schemeClr val="tx1"/>
          </a:solidFill>
        </a:ln>
      </dgm:spPr>
      <dgm:t>
        <a:bodyPr/>
        <a:lstStyle/>
        <a:p>
          <a:pPr marR="0" algn="ctr" rtl="0"/>
          <a:r>
            <a:rPr lang="en-GB" sz="1400" b="1" i="0" u="none" strike="noStrike" baseline="0" smtClean="0">
              <a:solidFill>
                <a:sysClr val="windowText" lastClr="000000"/>
              </a:solidFill>
              <a:latin typeface="Arial"/>
            </a:rPr>
            <a:t>Market Analysis</a:t>
          </a:r>
          <a:endParaRPr lang="en-GB" sz="1400" smtClean="0">
            <a:solidFill>
              <a:sysClr val="windowText" lastClr="000000"/>
            </a:solidFill>
          </a:endParaRPr>
        </a:p>
      </dgm:t>
    </dgm:pt>
    <dgm:pt modelId="{E21C67F1-16FD-4219-A603-EA54EB232E63}" type="parTrans" cxnId="{90738A0F-AF47-4669-8298-FCC0A0DB49A9}">
      <dgm:prSet/>
      <dgm:spPr/>
      <dgm:t>
        <a:bodyPr/>
        <a:lstStyle/>
        <a:p>
          <a:endParaRPr lang="en-GB"/>
        </a:p>
      </dgm:t>
    </dgm:pt>
    <dgm:pt modelId="{5D05C61E-6578-4A61-A4DD-A7AF5931F74D}" type="sibTrans" cxnId="{90738A0F-AF47-4669-8298-FCC0A0DB49A9}">
      <dgm:prSet/>
      <dgm:spPr/>
      <dgm:t>
        <a:bodyPr/>
        <a:lstStyle/>
        <a:p>
          <a:endParaRPr lang="en-GB"/>
        </a:p>
      </dgm:t>
    </dgm:pt>
    <dgm:pt modelId="{F70B7D69-15AC-494B-BDDD-19E01A56BD48}">
      <dgm:prSet/>
      <dgm:spPr>
        <a:solidFill>
          <a:schemeClr val="accent1">
            <a:lumMod val="40000"/>
            <a:lumOff val="60000"/>
          </a:schemeClr>
        </a:solidFill>
        <a:ln w="12700">
          <a:solidFill>
            <a:schemeClr val="tx1"/>
          </a:solidFill>
        </a:ln>
      </dgm:spPr>
      <dgm:t>
        <a:bodyPr/>
        <a:lstStyle/>
        <a:p>
          <a:pPr marR="0" algn="ctr" rtl="0"/>
          <a:r>
            <a:rPr lang="en-GB" b="1" i="0" u="none" strike="noStrike" baseline="0" smtClean="0">
              <a:solidFill>
                <a:sysClr val="windowText" lastClr="000000"/>
              </a:solidFill>
              <a:latin typeface="Arial"/>
            </a:rPr>
            <a:t>Agree scope and define market segment</a:t>
          </a:r>
          <a:endParaRPr lang="en-GB" smtClean="0">
            <a:solidFill>
              <a:sysClr val="windowText" lastClr="000000"/>
            </a:solidFill>
          </a:endParaRPr>
        </a:p>
      </dgm:t>
    </dgm:pt>
    <dgm:pt modelId="{1B50F53E-4AA2-4BB8-8C64-54C71C80DB4C}" type="parTrans" cxnId="{D520E176-6BED-4256-A67F-73D7D6F7E4E0}">
      <dgm:prSet/>
      <dgm:spPr>
        <a:ln w="12700">
          <a:solidFill>
            <a:schemeClr val="tx1"/>
          </a:solidFill>
        </a:ln>
      </dgm:spPr>
      <dgm:t>
        <a:bodyPr/>
        <a:lstStyle/>
        <a:p>
          <a:endParaRPr lang="en-GB"/>
        </a:p>
      </dgm:t>
    </dgm:pt>
    <dgm:pt modelId="{7F43F8D4-6ABD-4207-A590-EA7C58D3DB26}" type="sibTrans" cxnId="{D520E176-6BED-4256-A67F-73D7D6F7E4E0}">
      <dgm:prSet/>
      <dgm:spPr/>
      <dgm:t>
        <a:bodyPr/>
        <a:lstStyle/>
        <a:p>
          <a:endParaRPr lang="en-GB"/>
        </a:p>
      </dgm:t>
    </dgm:pt>
    <dgm:pt modelId="{C221BC33-BEFB-4FB0-99A8-61CBD0EF9000}">
      <dgm:prSet/>
      <dgm:spPr>
        <a:solidFill>
          <a:schemeClr val="accent1">
            <a:lumMod val="40000"/>
            <a:lumOff val="60000"/>
          </a:schemeClr>
        </a:solidFill>
        <a:ln w="12700">
          <a:solidFill>
            <a:schemeClr val="tx1"/>
          </a:solidFill>
        </a:ln>
      </dgm:spPr>
      <dgm:t>
        <a:bodyPr/>
        <a:lstStyle/>
        <a:p>
          <a:pPr marR="0" algn="ctr" rtl="0"/>
          <a:r>
            <a:rPr lang="en-GB" b="1" i="0" u="none" strike="noStrike" baseline="0" smtClean="0">
              <a:solidFill>
                <a:sysClr val="windowText" lastClr="000000"/>
              </a:solidFill>
              <a:latin typeface="Arial"/>
            </a:rPr>
            <a:t>Assess market needs and demand</a:t>
          </a:r>
          <a:endParaRPr lang="en-GB" smtClean="0">
            <a:solidFill>
              <a:sysClr val="windowText" lastClr="000000"/>
            </a:solidFill>
          </a:endParaRPr>
        </a:p>
      </dgm:t>
    </dgm:pt>
    <dgm:pt modelId="{5A1E1989-22BF-4111-97A6-01F6260F1A05}" type="parTrans" cxnId="{8564F0A2-D57B-445A-84D3-4101DD24DEC9}">
      <dgm:prSet/>
      <dgm:spPr>
        <a:ln w="12700">
          <a:solidFill>
            <a:schemeClr val="tx1"/>
          </a:solidFill>
        </a:ln>
      </dgm:spPr>
      <dgm:t>
        <a:bodyPr/>
        <a:lstStyle/>
        <a:p>
          <a:endParaRPr lang="en-GB"/>
        </a:p>
      </dgm:t>
    </dgm:pt>
    <dgm:pt modelId="{109965E6-CF81-4185-9AB0-6E389C2DC460}" type="sibTrans" cxnId="{8564F0A2-D57B-445A-84D3-4101DD24DEC9}">
      <dgm:prSet/>
      <dgm:spPr/>
      <dgm:t>
        <a:bodyPr/>
        <a:lstStyle/>
        <a:p>
          <a:endParaRPr lang="en-GB"/>
        </a:p>
      </dgm:t>
    </dgm:pt>
    <dgm:pt modelId="{CBF875DB-31A2-4E67-B064-7CE49C46E449}">
      <dgm:prSet/>
      <dgm:spPr>
        <a:solidFill>
          <a:schemeClr val="accent1">
            <a:lumMod val="40000"/>
            <a:lumOff val="60000"/>
          </a:schemeClr>
        </a:solidFill>
        <a:ln w="12700">
          <a:solidFill>
            <a:schemeClr val="tx1"/>
          </a:solidFill>
        </a:ln>
      </dgm:spPr>
      <dgm:t>
        <a:bodyPr/>
        <a:lstStyle/>
        <a:p>
          <a:pPr marR="0" algn="ctr" rtl="0"/>
          <a:endParaRPr lang="en-GB" b="1" i="0" u="none" strike="noStrike" baseline="0" smtClean="0">
            <a:latin typeface="Arial"/>
          </a:endParaRPr>
        </a:p>
        <a:p>
          <a:pPr marR="0" algn="ctr" rtl="0"/>
          <a:r>
            <a:rPr lang="en-GB" b="1" i="0" u="none" strike="noStrike" baseline="0" smtClean="0">
              <a:solidFill>
                <a:sysClr val="windowText" lastClr="000000"/>
              </a:solidFill>
              <a:latin typeface="Arial"/>
            </a:rPr>
            <a:t> Assess current market performance </a:t>
          </a:r>
        </a:p>
        <a:p>
          <a:pPr marR="0" algn="ctr" rtl="0"/>
          <a:endParaRPr lang="en-GB" b="1" i="0" u="none" strike="noStrike" baseline="0" smtClean="0">
            <a:solidFill>
              <a:sysClr val="windowText" lastClr="000000"/>
            </a:solidFill>
            <a:latin typeface="Arial"/>
          </a:endParaRPr>
        </a:p>
      </dgm:t>
    </dgm:pt>
    <dgm:pt modelId="{5FAB704A-07F7-40E2-8285-10DFD799CABE}" type="parTrans" cxnId="{4B87B9FF-B84E-49AA-93CA-613309BAD7A5}">
      <dgm:prSet/>
      <dgm:spPr>
        <a:ln w="12700">
          <a:solidFill>
            <a:schemeClr val="tx1"/>
          </a:solidFill>
        </a:ln>
      </dgm:spPr>
      <dgm:t>
        <a:bodyPr/>
        <a:lstStyle/>
        <a:p>
          <a:endParaRPr lang="en-GB"/>
        </a:p>
      </dgm:t>
    </dgm:pt>
    <dgm:pt modelId="{691A8160-0982-48F8-B03B-6798AD360938}" type="sibTrans" cxnId="{4B87B9FF-B84E-49AA-93CA-613309BAD7A5}">
      <dgm:prSet/>
      <dgm:spPr/>
      <dgm:t>
        <a:bodyPr/>
        <a:lstStyle/>
        <a:p>
          <a:endParaRPr lang="en-GB"/>
        </a:p>
      </dgm:t>
    </dgm:pt>
    <dgm:pt modelId="{2627A63A-5397-4E1C-B74B-85614AA00EAA}">
      <dgm:prSet/>
      <dgm:spPr>
        <a:solidFill>
          <a:schemeClr val="accent1">
            <a:lumMod val="40000"/>
            <a:lumOff val="60000"/>
          </a:schemeClr>
        </a:solidFill>
        <a:ln w="12700">
          <a:solidFill>
            <a:schemeClr val="tx1"/>
          </a:solidFill>
        </a:ln>
      </dgm:spPr>
      <dgm:t>
        <a:bodyPr/>
        <a:lstStyle/>
        <a:p>
          <a:pPr marR="0" algn="ctr" rtl="0"/>
          <a:r>
            <a:rPr lang="en-GB" b="1" i="0" u="none" strike="noStrike" baseline="0" smtClean="0">
              <a:solidFill>
                <a:sysClr val="windowText" lastClr="000000"/>
              </a:solidFill>
              <a:latin typeface="Arial"/>
            </a:rPr>
            <a:t>Provider analysis</a:t>
          </a:r>
        </a:p>
      </dgm:t>
    </dgm:pt>
    <dgm:pt modelId="{04EC58B2-BEC1-42BC-8DBF-F771B67B9821}" type="parTrans" cxnId="{3C6B7211-242B-44DA-B9C0-AC11437CFC25}">
      <dgm:prSet/>
      <dgm:spPr>
        <a:ln w="12700">
          <a:solidFill>
            <a:schemeClr val="tx1"/>
          </a:solidFill>
        </a:ln>
      </dgm:spPr>
      <dgm:t>
        <a:bodyPr/>
        <a:lstStyle/>
        <a:p>
          <a:endParaRPr lang="en-GB"/>
        </a:p>
      </dgm:t>
    </dgm:pt>
    <dgm:pt modelId="{670010FE-FDEA-457E-BC6D-349FE3535359}" type="sibTrans" cxnId="{3C6B7211-242B-44DA-B9C0-AC11437CFC25}">
      <dgm:prSet/>
      <dgm:spPr/>
      <dgm:t>
        <a:bodyPr/>
        <a:lstStyle/>
        <a:p>
          <a:endParaRPr lang="en-GB"/>
        </a:p>
      </dgm:t>
    </dgm:pt>
    <dgm:pt modelId="{0BFEE605-3F26-4344-A9FE-E3DB944AE0C7}">
      <dgm:prSet/>
      <dgm:spPr>
        <a:solidFill>
          <a:schemeClr val="accent1">
            <a:lumMod val="40000"/>
            <a:lumOff val="60000"/>
          </a:schemeClr>
        </a:solidFill>
        <a:ln w="12700">
          <a:solidFill>
            <a:schemeClr val="tx1"/>
          </a:solidFill>
        </a:ln>
      </dgm:spPr>
      <dgm:t>
        <a:bodyPr/>
        <a:lstStyle/>
        <a:p>
          <a:pPr marR="0" algn="ctr" rtl="0"/>
          <a:r>
            <a:rPr lang="en-GB" b="1" i="0" u="none" strike="noStrike" baseline="0" smtClean="0">
              <a:solidFill>
                <a:sysClr val="windowText" lastClr="000000"/>
              </a:solidFill>
              <a:latin typeface="Arial"/>
            </a:rPr>
            <a:t>Assess competitive environment</a:t>
          </a:r>
        </a:p>
      </dgm:t>
    </dgm:pt>
    <dgm:pt modelId="{BC350339-E1FF-42EE-89FC-69F7838F8D81}" type="parTrans" cxnId="{E8831423-C4FB-4CD0-B1A1-7ECC889BAA56}">
      <dgm:prSet/>
      <dgm:spPr>
        <a:ln w="12700">
          <a:solidFill>
            <a:schemeClr val="tx1"/>
          </a:solidFill>
        </a:ln>
      </dgm:spPr>
      <dgm:t>
        <a:bodyPr/>
        <a:lstStyle/>
        <a:p>
          <a:endParaRPr lang="en-GB"/>
        </a:p>
      </dgm:t>
    </dgm:pt>
    <dgm:pt modelId="{1251B501-EE49-4F7A-B677-6608E4F326C3}" type="sibTrans" cxnId="{E8831423-C4FB-4CD0-B1A1-7ECC889BAA56}">
      <dgm:prSet/>
      <dgm:spPr/>
      <dgm:t>
        <a:bodyPr/>
        <a:lstStyle/>
        <a:p>
          <a:endParaRPr lang="en-GB"/>
        </a:p>
      </dgm:t>
    </dgm:pt>
    <dgm:pt modelId="{31C50871-C93A-4E24-9D30-0A15288A80CB}">
      <dgm:prSet/>
      <dgm:spPr>
        <a:solidFill>
          <a:schemeClr val="accent1">
            <a:lumMod val="40000"/>
            <a:lumOff val="60000"/>
          </a:schemeClr>
        </a:solidFill>
        <a:ln w="12700">
          <a:solidFill>
            <a:schemeClr val="tx1"/>
          </a:solidFill>
        </a:ln>
      </dgm:spPr>
      <dgm:t>
        <a:bodyPr/>
        <a:lstStyle/>
        <a:p>
          <a:pPr marR="0" algn="ctr" rtl="0"/>
          <a:r>
            <a:rPr lang="en-GB" b="1" i="0" u="none" strike="noStrike" baseline="0" smtClean="0">
              <a:solidFill>
                <a:sysClr val="windowText" lastClr="000000"/>
              </a:solidFill>
              <a:latin typeface="Arial"/>
            </a:rPr>
            <a:t>Map out preferred future provider landscape </a:t>
          </a:r>
        </a:p>
      </dgm:t>
    </dgm:pt>
    <dgm:pt modelId="{52B19DA5-7013-43EC-940B-74E016E7CBC4}" type="parTrans" cxnId="{A94B31FB-A3E2-4CBB-B6CD-DE5DF0887218}">
      <dgm:prSet/>
      <dgm:spPr>
        <a:ln w="12700">
          <a:solidFill>
            <a:schemeClr val="tx1"/>
          </a:solidFill>
        </a:ln>
      </dgm:spPr>
      <dgm:t>
        <a:bodyPr/>
        <a:lstStyle/>
        <a:p>
          <a:endParaRPr lang="en-GB"/>
        </a:p>
      </dgm:t>
    </dgm:pt>
    <dgm:pt modelId="{CCC48337-52E2-4846-8C34-AC14F48D6395}" type="sibTrans" cxnId="{A94B31FB-A3E2-4CBB-B6CD-DE5DF0887218}">
      <dgm:prSet/>
      <dgm:spPr/>
      <dgm:t>
        <a:bodyPr/>
        <a:lstStyle/>
        <a:p>
          <a:endParaRPr lang="en-GB"/>
        </a:p>
      </dgm:t>
    </dgm:pt>
    <dgm:pt modelId="{D18F001B-3F9C-4752-B045-8F6F44167E2E}">
      <dgm:prSet/>
      <dgm:spPr>
        <a:solidFill>
          <a:schemeClr val="accent1">
            <a:lumMod val="40000"/>
            <a:lumOff val="60000"/>
          </a:schemeClr>
        </a:solidFill>
        <a:ln w="12700">
          <a:solidFill>
            <a:schemeClr val="tx1"/>
          </a:solidFill>
        </a:ln>
      </dgm:spPr>
      <dgm:t>
        <a:bodyPr/>
        <a:lstStyle/>
        <a:p>
          <a:pPr marR="0" algn="ctr" rtl="0"/>
          <a:r>
            <a:rPr lang="en-GB" b="1" i="0" u="none" strike="noStrike" baseline="0" smtClean="0">
              <a:solidFill>
                <a:sysClr val="windowText" lastClr="000000"/>
              </a:solidFill>
              <a:latin typeface="Arial"/>
            </a:rPr>
            <a:t>Assess market intervention levers</a:t>
          </a:r>
        </a:p>
      </dgm:t>
    </dgm:pt>
    <dgm:pt modelId="{0497B7FA-B880-43FD-8485-2E83A2A58309}" type="parTrans" cxnId="{30F48ABD-28E9-40AE-A9EF-F05F214FDD60}">
      <dgm:prSet/>
      <dgm:spPr>
        <a:ln w="12700">
          <a:solidFill>
            <a:schemeClr val="tx1"/>
          </a:solidFill>
        </a:ln>
      </dgm:spPr>
      <dgm:t>
        <a:bodyPr/>
        <a:lstStyle/>
        <a:p>
          <a:endParaRPr lang="en-GB"/>
        </a:p>
      </dgm:t>
    </dgm:pt>
    <dgm:pt modelId="{A94AD2B0-4C20-4CCA-8B8A-7170E7562092}" type="sibTrans" cxnId="{30F48ABD-28E9-40AE-A9EF-F05F214FDD60}">
      <dgm:prSet/>
      <dgm:spPr/>
      <dgm:t>
        <a:bodyPr/>
        <a:lstStyle/>
        <a:p>
          <a:endParaRPr lang="en-GB"/>
        </a:p>
      </dgm:t>
    </dgm:pt>
    <dgm:pt modelId="{109E2B9B-4AF6-4B2B-AEA7-4310A2808557}">
      <dgm:prSet/>
      <dgm:spPr>
        <a:solidFill>
          <a:schemeClr val="accent1">
            <a:lumMod val="40000"/>
            <a:lumOff val="60000"/>
          </a:schemeClr>
        </a:solidFill>
        <a:ln w="12700">
          <a:solidFill>
            <a:schemeClr val="tx1"/>
          </a:solidFill>
        </a:ln>
      </dgm:spPr>
      <dgm:t>
        <a:bodyPr/>
        <a:lstStyle/>
        <a:p>
          <a:pPr marR="0" algn="ctr" rtl="0"/>
          <a:r>
            <a:rPr lang="en-GB" b="1" i="0" u="none" strike="noStrike" baseline="0" smtClean="0">
              <a:solidFill>
                <a:sysClr val="windowText" lastClr="000000"/>
              </a:solidFill>
              <a:latin typeface="Arial"/>
            </a:rPr>
            <a:t>Implementation Plan</a:t>
          </a:r>
          <a:endParaRPr lang="en-GB" smtClean="0">
            <a:solidFill>
              <a:sysClr val="windowText" lastClr="000000"/>
            </a:solidFill>
          </a:endParaRPr>
        </a:p>
      </dgm:t>
    </dgm:pt>
    <dgm:pt modelId="{688E7B62-4AD4-4233-8271-EAD0E65E200E}" type="parTrans" cxnId="{EF008BD3-F02F-4009-B431-9DCD2D096185}">
      <dgm:prSet/>
      <dgm:spPr>
        <a:ln w="12700">
          <a:solidFill>
            <a:schemeClr val="tx1"/>
          </a:solidFill>
        </a:ln>
      </dgm:spPr>
      <dgm:t>
        <a:bodyPr/>
        <a:lstStyle/>
        <a:p>
          <a:endParaRPr lang="en-GB"/>
        </a:p>
      </dgm:t>
    </dgm:pt>
    <dgm:pt modelId="{C0D120A2-F057-4FBB-9159-22EA2288E228}" type="sibTrans" cxnId="{EF008BD3-F02F-4009-B431-9DCD2D096185}">
      <dgm:prSet/>
      <dgm:spPr/>
      <dgm:t>
        <a:bodyPr/>
        <a:lstStyle/>
        <a:p>
          <a:endParaRPr lang="en-GB"/>
        </a:p>
      </dgm:t>
    </dgm:pt>
    <dgm:pt modelId="{867488C1-DD37-4D15-8E7D-8E022FA96B5D}" type="pres">
      <dgm:prSet presAssocID="{D8EF937C-ECCF-4EB1-9B48-B6A508D048C6}" presName="cycle" presStyleCnt="0">
        <dgm:presLayoutVars>
          <dgm:chMax val="1"/>
          <dgm:dir/>
          <dgm:animLvl val="ctr"/>
          <dgm:resizeHandles val="exact"/>
        </dgm:presLayoutVars>
      </dgm:prSet>
      <dgm:spPr/>
    </dgm:pt>
    <dgm:pt modelId="{D0AC8069-BE1D-4207-AD59-5754C9327285}" type="pres">
      <dgm:prSet presAssocID="{A56156AF-C0D8-42D6-9229-FE44997E9BD6}" presName="centerShape" presStyleLbl="node0" presStyleIdx="0" presStyleCnt="1" custAng="0"/>
      <dgm:spPr>
        <a:prstGeom prst="flowChartConnector">
          <a:avLst/>
        </a:prstGeom>
      </dgm:spPr>
      <dgm:t>
        <a:bodyPr/>
        <a:lstStyle/>
        <a:p>
          <a:endParaRPr lang="en-GB"/>
        </a:p>
      </dgm:t>
    </dgm:pt>
    <dgm:pt modelId="{2063C3AF-4D7E-4E00-A457-912BA89F651B}" type="pres">
      <dgm:prSet presAssocID="{1B50F53E-4AA2-4BB8-8C64-54C71C80DB4C}" presName="Name9" presStyleLbl="parChTrans1D2" presStyleIdx="0" presStyleCnt="8"/>
      <dgm:spPr/>
      <dgm:t>
        <a:bodyPr/>
        <a:lstStyle/>
        <a:p>
          <a:endParaRPr lang="en-GB"/>
        </a:p>
      </dgm:t>
    </dgm:pt>
    <dgm:pt modelId="{43469031-7B0E-436D-9A0E-FA385097A2FE}" type="pres">
      <dgm:prSet presAssocID="{1B50F53E-4AA2-4BB8-8C64-54C71C80DB4C}" presName="connTx" presStyleLbl="parChTrans1D2" presStyleIdx="0" presStyleCnt="8"/>
      <dgm:spPr/>
      <dgm:t>
        <a:bodyPr/>
        <a:lstStyle/>
        <a:p>
          <a:endParaRPr lang="en-GB"/>
        </a:p>
      </dgm:t>
    </dgm:pt>
    <dgm:pt modelId="{7873711D-5D73-4349-A06F-EE59D0AEA951}" type="pres">
      <dgm:prSet presAssocID="{F70B7D69-15AC-494B-BDDD-19E01A56BD48}" presName="node" presStyleLbl="node1" presStyleIdx="0" presStyleCnt="8">
        <dgm:presLayoutVars>
          <dgm:bulletEnabled val="1"/>
        </dgm:presLayoutVars>
      </dgm:prSet>
      <dgm:spPr>
        <a:prstGeom prst="flowChartConnector">
          <a:avLst/>
        </a:prstGeom>
      </dgm:spPr>
      <dgm:t>
        <a:bodyPr/>
        <a:lstStyle/>
        <a:p>
          <a:endParaRPr lang="en-GB"/>
        </a:p>
      </dgm:t>
    </dgm:pt>
    <dgm:pt modelId="{FEB1254F-D581-41F9-868D-9995518E297C}" type="pres">
      <dgm:prSet presAssocID="{5A1E1989-22BF-4111-97A6-01F6260F1A05}" presName="Name9" presStyleLbl="parChTrans1D2" presStyleIdx="1" presStyleCnt="8"/>
      <dgm:spPr/>
      <dgm:t>
        <a:bodyPr/>
        <a:lstStyle/>
        <a:p>
          <a:endParaRPr lang="en-GB"/>
        </a:p>
      </dgm:t>
    </dgm:pt>
    <dgm:pt modelId="{0C94AD54-4E9F-4DC1-87D6-B37DDFBEB656}" type="pres">
      <dgm:prSet presAssocID="{5A1E1989-22BF-4111-97A6-01F6260F1A05}" presName="connTx" presStyleLbl="parChTrans1D2" presStyleIdx="1" presStyleCnt="8"/>
      <dgm:spPr/>
      <dgm:t>
        <a:bodyPr/>
        <a:lstStyle/>
        <a:p>
          <a:endParaRPr lang="en-GB"/>
        </a:p>
      </dgm:t>
    </dgm:pt>
    <dgm:pt modelId="{0E58A7B5-6DCB-43C1-A0AB-2D7764D02C1D}" type="pres">
      <dgm:prSet presAssocID="{C221BC33-BEFB-4FB0-99A8-61CBD0EF9000}" presName="node" presStyleLbl="node1" presStyleIdx="1" presStyleCnt="8">
        <dgm:presLayoutVars>
          <dgm:bulletEnabled val="1"/>
        </dgm:presLayoutVars>
      </dgm:prSet>
      <dgm:spPr/>
      <dgm:t>
        <a:bodyPr/>
        <a:lstStyle/>
        <a:p>
          <a:endParaRPr lang="en-GB"/>
        </a:p>
      </dgm:t>
    </dgm:pt>
    <dgm:pt modelId="{82628EB4-E261-48AE-A144-32C5EA7B9498}" type="pres">
      <dgm:prSet presAssocID="{5FAB704A-07F7-40E2-8285-10DFD799CABE}" presName="Name9" presStyleLbl="parChTrans1D2" presStyleIdx="2" presStyleCnt="8"/>
      <dgm:spPr/>
      <dgm:t>
        <a:bodyPr/>
        <a:lstStyle/>
        <a:p>
          <a:endParaRPr lang="en-GB"/>
        </a:p>
      </dgm:t>
    </dgm:pt>
    <dgm:pt modelId="{BBA60E91-F456-4ADF-8D2D-FCAF8992EC78}" type="pres">
      <dgm:prSet presAssocID="{5FAB704A-07F7-40E2-8285-10DFD799CABE}" presName="connTx" presStyleLbl="parChTrans1D2" presStyleIdx="2" presStyleCnt="8"/>
      <dgm:spPr/>
      <dgm:t>
        <a:bodyPr/>
        <a:lstStyle/>
        <a:p>
          <a:endParaRPr lang="en-GB"/>
        </a:p>
      </dgm:t>
    </dgm:pt>
    <dgm:pt modelId="{B5CC4CE1-90B9-4076-BEBC-95FB138A3F17}" type="pres">
      <dgm:prSet presAssocID="{CBF875DB-31A2-4E67-B064-7CE49C46E449}" presName="node" presStyleLbl="node1" presStyleIdx="2" presStyleCnt="8">
        <dgm:presLayoutVars>
          <dgm:bulletEnabled val="1"/>
        </dgm:presLayoutVars>
      </dgm:prSet>
      <dgm:spPr/>
      <dgm:t>
        <a:bodyPr/>
        <a:lstStyle/>
        <a:p>
          <a:endParaRPr lang="en-GB"/>
        </a:p>
      </dgm:t>
    </dgm:pt>
    <dgm:pt modelId="{A79051E3-8926-43E5-8F7A-6BB568606A7B}" type="pres">
      <dgm:prSet presAssocID="{04EC58B2-BEC1-42BC-8DBF-F771B67B9821}" presName="Name9" presStyleLbl="parChTrans1D2" presStyleIdx="3" presStyleCnt="8"/>
      <dgm:spPr/>
      <dgm:t>
        <a:bodyPr/>
        <a:lstStyle/>
        <a:p>
          <a:endParaRPr lang="en-GB"/>
        </a:p>
      </dgm:t>
    </dgm:pt>
    <dgm:pt modelId="{22CBD48B-5E1B-4A2E-9DFF-E7A3DA116AFB}" type="pres">
      <dgm:prSet presAssocID="{04EC58B2-BEC1-42BC-8DBF-F771B67B9821}" presName="connTx" presStyleLbl="parChTrans1D2" presStyleIdx="3" presStyleCnt="8"/>
      <dgm:spPr/>
      <dgm:t>
        <a:bodyPr/>
        <a:lstStyle/>
        <a:p>
          <a:endParaRPr lang="en-GB"/>
        </a:p>
      </dgm:t>
    </dgm:pt>
    <dgm:pt modelId="{32DEA577-ECB1-42E7-B399-F7DEE07BD517}" type="pres">
      <dgm:prSet presAssocID="{2627A63A-5397-4E1C-B74B-85614AA00EAA}" presName="node" presStyleLbl="node1" presStyleIdx="3" presStyleCnt="8">
        <dgm:presLayoutVars>
          <dgm:bulletEnabled val="1"/>
        </dgm:presLayoutVars>
      </dgm:prSet>
      <dgm:spPr/>
      <dgm:t>
        <a:bodyPr/>
        <a:lstStyle/>
        <a:p>
          <a:endParaRPr lang="en-GB"/>
        </a:p>
      </dgm:t>
    </dgm:pt>
    <dgm:pt modelId="{A2EC5A32-5064-4F43-AEDA-C58E1F896EAC}" type="pres">
      <dgm:prSet presAssocID="{BC350339-E1FF-42EE-89FC-69F7838F8D81}" presName="Name9" presStyleLbl="parChTrans1D2" presStyleIdx="4" presStyleCnt="8"/>
      <dgm:spPr/>
      <dgm:t>
        <a:bodyPr/>
        <a:lstStyle/>
        <a:p>
          <a:endParaRPr lang="en-GB"/>
        </a:p>
      </dgm:t>
    </dgm:pt>
    <dgm:pt modelId="{12F2BCD3-DEBC-44A8-930D-F62106FC812A}" type="pres">
      <dgm:prSet presAssocID="{BC350339-E1FF-42EE-89FC-69F7838F8D81}" presName="connTx" presStyleLbl="parChTrans1D2" presStyleIdx="4" presStyleCnt="8"/>
      <dgm:spPr/>
      <dgm:t>
        <a:bodyPr/>
        <a:lstStyle/>
        <a:p>
          <a:endParaRPr lang="en-GB"/>
        </a:p>
      </dgm:t>
    </dgm:pt>
    <dgm:pt modelId="{E5D55CE2-98CD-4F3B-8E10-4FFBC563F8B6}" type="pres">
      <dgm:prSet presAssocID="{0BFEE605-3F26-4344-A9FE-E3DB944AE0C7}" presName="node" presStyleLbl="node1" presStyleIdx="4" presStyleCnt="8">
        <dgm:presLayoutVars>
          <dgm:bulletEnabled val="1"/>
        </dgm:presLayoutVars>
      </dgm:prSet>
      <dgm:spPr/>
      <dgm:t>
        <a:bodyPr/>
        <a:lstStyle/>
        <a:p>
          <a:endParaRPr lang="en-GB"/>
        </a:p>
      </dgm:t>
    </dgm:pt>
    <dgm:pt modelId="{EB3EE96A-A033-43B2-8371-0DD48202931B}" type="pres">
      <dgm:prSet presAssocID="{52B19DA5-7013-43EC-940B-74E016E7CBC4}" presName="Name9" presStyleLbl="parChTrans1D2" presStyleIdx="5" presStyleCnt="8"/>
      <dgm:spPr/>
      <dgm:t>
        <a:bodyPr/>
        <a:lstStyle/>
        <a:p>
          <a:endParaRPr lang="en-GB"/>
        </a:p>
      </dgm:t>
    </dgm:pt>
    <dgm:pt modelId="{53B18F32-3813-413D-ADFB-60EBDD2CDCFC}" type="pres">
      <dgm:prSet presAssocID="{52B19DA5-7013-43EC-940B-74E016E7CBC4}" presName="connTx" presStyleLbl="parChTrans1D2" presStyleIdx="5" presStyleCnt="8"/>
      <dgm:spPr/>
      <dgm:t>
        <a:bodyPr/>
        <a:lstStyle/>
        <a:p>
          <a:endParaRPr lang="en-GB"/>
        </a:p>
      </dgm:t>
    </dgm:pt>
    <dgm:pt modelId="{EA2208D9-6FDF-448C-B863-95FCC379F4B2}" type="pres">
      <dgm:prSet presAssocID="{31C50871-C93A-4E24-9D30-0A15288A80CB}" presName="node" presStyleLbl="node1" presStyleIdx="5" presStyleCnt="8">
        <dgm:presLayoutVars>
          <dgm:bulletEnabled val="1"/>
        </dgm:presLayoutVars>
      </dgm:prSet>
      <dgm:spPr/>
      <dgm:t>
        <a:bodyPr/>
        <a:lstStyle/>
        <a:p>
          <a:endParaRPr lang="en-GB"/>
        </a:p>
      </dgm:t>
    </dgm:pt>
    <dgm:pt modelId="{8D9B42CE-7BF9-4CC4-9E02-01849845E25A}" type="pres">
      <dgm:prSet presAssocID="{0497B7FA-B880-43FD-8485-2E83A2A58309}" presName="Name9" presStyleLbl="parChTrans1D2" presStyleIdx="6" presStyleCnt="8"/>
      <dgm:spPr/>
      <dgm:t>
        <a:bodyPr/>
        <a:lstStyle/>
        <a:p>
          <a:endParaRPr lang="en-GB"/>
        </a:p>
      </dgm:t>
    </dgm:pt>
    <dgm:pt modelId="{08B02778-78FD-4A2F-A607-F18E7C89857C}" type="pres">
      <dgm:prSet presAssocID="{0497B7FA-B880-43FD-8485-2E83A2A58309}" presName="connTx" presStyleLbl="parChTrans1D2" presStyleIdx="6" presStyleCnt="8"/>
      <dgm:spPr/>
      <dgm:t>
        <a:bodyPr/>
        <a:lstStyle/>
        <a:p>
          <a:endParaRPr lang="en-GB"/>
        </a:p>
      </dgm:t>
    </dgm:pt>
    <dgm:pt modelId="{9C6A55A8-2348-4D3C-B024-E867D047F040}" type="pres">
      <dgm:prSet presAssocID="{D18F001B-3F9C-4752-B045-8F6F44167E2E}" presName="node" presStyleLbl="node1" presStyleIdx="6" presStyleCnt="8">
        <dgm:presLayoutVars>
          <dgm:bulletEnabled val="1"/>
        </dgm:presLayoutVars>
      </dgm:prSet>
      <dgm:spPr/>
      <dgm:t>
        <a:bodyPr/>
        <a:lstStyle/>
        <a:p>
          <a:endParaRPr lang="en-GB"/>
        </a:p>
      </dgm:t>
    </dgm:pt>
    <dgm:pt modelId="{3D32BF97-C63B-4EA9-89E0-13E18997CC86}" type="pres">
      <dgm:prSet presAssocID="{688E7B62-4AD4-4233-8271-EAD0E65E200E}" presName="Name9" presStyleLbl="parChTrans1D2" presStyleIdx="7" presStyleCnt="8"/>
      <dgm:spPr/>
      <dgm:t>
        <a:bodyPr/>
        <a:lstStyle/>
        <a:p>
          <a:endParaRPr lang="en-GB"/>
        </a:p>
      </dgm:t>
    </dgm:pt>
    <dgm:pt modelId="{B0BA24B6-6039-49B0-9718-F9752FDC1B67}" type="pres">
      <dgm:prSet presAssocID="{688E7B62-4AD4-4233-8271-EAD0E65E200E}" presName="connTx" presStyleLbl="parChTrans1D2" presStyleIdx="7" presStyleCnt="8"/>
      <dgm:spPr/>
      <dgm:t>
        <a:bodyPr/>
        <a:lstStyle/>
        <a:p>
          <a:endParaRPr lang="en-GB"/>
        </a:p>
      </dgm:t>
    </dgm:pt>
    <dgm:pt modelId="{D48A78C3-28D3-4DF6-B82E-DFA7CCE54519}" type="pres">
      <dgm:prSet presAssocID="{109E2B9B-4AF6-4B2B-AEA7-4310A2808557}" presName="node" presStyleLbl="node1" presStyleIdx="7" presStyleCnt="8">
        <dgm:presLayoutVars>
          <dgm:bulletEnabled val="1"/>
        </dgm:presLayoutVars>
      </dgm:prSet>
      <dgm:spPr/>
      <dgm:t>
        <a:bodyPr/>
        <a:lstStyle/>
        <a:p>
          <a:endParaRPr lang="en-GB"/>
        </a:p>
      </dgm:t>
    </dgm:pt>
  </dgm:ptLst>
  <dgm:cxnLst>
    <dgm:cxn modelId="{80FD42C5-0A96-4D06-9FF8-D09E80961E61}" type="presOf" srcId="{0BFEE605-3F26-4344-A9FE-E3DB944AE0C7}" destId="{E5D55CE2-98CD-4F3B-8E10-4FFBC563F8B6}" srcOrd="0" destOrd="0" presId="urn:microsoft.com/office/officeart/2005/8/layout/radial1"/>
    <dgm:cxn modelId="{08C7B710-A0F6-45BF-A63B-088EFD520B7C}" type="presOf" srcId="{D18F001B-3F9C-4752-B045-8F6F44167E2E}" destId="{9C6A55A8-2348-4D3C-B024-E867D047F040}" srcOrd="0" destOrd="0" presId="urn:microsoft.com/office/officeart/2005/8/layout/radial1"/>
    <dgm:cxn modelId="{52D2B642-68D9-4E2A-B57C-F3BB24688840}" type="presOf" srcId="{D8EF937C-ECCF-4EB1-9B48-B6A508D048C6}" destId="{867488C1-DD37-4D15-8E7D-8E022FA96B5D}" srcOrd="0" destOrd="0" presId="urn:microsoft.com/office/officeart/2005/8/layout/radial1"/>
    <dgm:cxn modelId="{F36B85F6-9A08-4691-B047-86EA5E04FCC3}" type="presOf" srcId="{04EC58B2-BEC1-42BC-8DBF-F771B67B9821}" destId="{A79051E3-8926-43E5-8F7A-6BB568606A7B}" srcOrd="0" destOrd="0" presId="urn:microsoft.com/office/officeart/2005/8/layout/radial1"/>
    <dgm:cxn modelId="{D23E6698-A04B-41CC-A5BD-0ABB400EFBAA}" type="presOf" srcId="{688E7B62-4AD4-4233-8271-EAD0E65E200E}" destId="{3D32BF97-C63B-4EA9-89E0-13E18997CC86}" srcOrd="0" destOrd="0" presId="urn:microsoft.com/office/officeart/2005/8/layout/radial1"/>
    <dgm:cxn modelId="{0945279E-8797-468F-89AD-9B2E604B18C6}" type="presOf" srcId="{5A1E1989-22BF-4111-97A6-01F6260F1A05}" destId="{0C94AD54-4E9F-4DC1-87D6-B37DDFBEB656}" srcOrd="1" destOrd="0" presId="urn:microsoft.com/office/officeart/2005/8/layout/radial1"/>
    <dgm:cxn modelId="{24159079-81D7-4147-AACE-DD293C217F3E}" type="presOf" srcId="{0497B7FA-B880-43FD-8485-2E83A2A58309}" destId="{8D9B42CE-7BF9-4CC4-9E02-01849845E25A}" srcOrd="0" destOrd="0" presId="urn:microsoft.com/office/officeart/2005/8/layout/radial1"/>
    <dgm:cxn modelId="{DA056652-25D0-43C8-8517-77ACE9812E21}" type="presOf" srcId="{A56156AF-C0D8-42D6-9229-FE44997E9BD6}" destId="{D0AC8069-BE1D-4207-AD59-5754C9327285}" srcOrd="0" destOrd="0" presId="urn:microsoft.com/office/officeart/2005/8/layout/radial1"/>
    <dgm:cxn modelId="{2228E007-55F9-4D83-A23C-19BB61641692}" type="presOf" srcId="{1B50F53E-4AA2-4BB8-8C64-54C71C80DB4C}" destId="{43469031-7B0E-436D-9A0E-FA385097A2FE}" srcOrd="1" destOrd="0" presId="urn:microsoft.com/office/officeart/2005/8/layout/radial1"/>
    <dgm:cxn modelId="{82928C4D-9DD7-484E-A697-C9F5C51866CE}" type="presOf" srcId="{31C50871-C93A-4E24-9D30-0A15288A80CB}" destId="{EA2208D9-6FDF-448C-B863-95FCC379F4B2}" srcOrd="0" destOrd="0" presId="urn:microsoft.com/office/officeart/2005/8/layout/radial1"/>
    <dgm:cxn modelId="{5D5F958F-5F7E-4C58-8916-D0734D9AE6A9}" type="presOf" srcId="{5A1E1989-22BF-4111-97A6-01F6260F1A05}" destId="{FEB1254F-D581-41F9-868D-9995518E297C}" srcOrd="0" destOrd="0" presId="urn:microsoft.com/office/officeart/2005/8/layout/radial1"/>
    <dgm:cxn modelId="{D520E176-6BED-4256-A67F-73D7D6F7E4E0}" srcId="{A56156AF-C0D8-42D6-9229-FE44997E9BD6}" destId="{F70B7D69-15AC-494B-BDDD-19E01A56BD48}" srcOrd="0" destOrd="0" parTransId="{1B50F53E-4AA2-4BB8-8C64-54C71C80DB4C}" sibTransId="{7F43F8D4-6ABD-4207-A590-EA7C58D3DB26}"/>
    <dgm:cxn modelId="{90738A0F-AF47-4669-8298-FCC0A0DB49A9}" srcId="{D8EF937C-ECCF-4EB1-9B48-B6A508D048C6}" destId="{A56156AF-C0D8-42D6-9229-FE44997E9BD6}" srcOrd="0" destOrd="0" parTransId="{E21C67F1-16FD-4219-A603-EA54EB232E63}" sibTransId="{5D05C61E-6578-4A61-A4DD-A7AF5931F74D}"/>
    <dgm:cxn modelId="{EFDF847A-0243-4D46-B30B-FF349A303288}" type="presOf" srcId="{F70B7D69-15AC-494B-BDDD-19E01A56BD48}" destId="{7873711D-5D73-4349-A06F-EE59D0AEA951}" srcOrd="0" destOrd="0" presId="urn:microsoft.com/office/officeart/2005/8/layout/radial1"/>
    <dgm:cxn modelId="{0C28A161-2C9F-473C-887D-77D95819F2BC}" type="presOf" srcId="{5FAB704A-07F7-40E2-8285-10DFD799CABE}" destId="{BBA60E91-F456-4ADF-8D2D-FCAF8992EC78}" srcOrd="1" destOrd="0" presId="urn:microsoft.com/office/officeart/2005/8/layout/radial1"/>
    <dgm:cxn modelId="{9DC2A500-269E-41E9-8AF9-9E218A608EF5}" type="presOf" srcId="{04EC58B2-BEC1-42BC-8DBF-F771B67B9821}" destId="{22CBD48B-5E1B-4A2E-9DFF-E7A3DA116AFB}" srcOrd="1" destOrd="0" presId="urn:microsoft.com/office/officeart/2005/8/layout/radial1"/>
    <dgm:cxn modelId="{EF008BD3-F02F-4009-B431-9DCD2D096185}" srcId="{A56156AF-C0D8-42D6-9229-FE44997E9BD6}" destId="{109E2B9B-4AF6-4B2B-AEA7-4310A2808557}" srcOrd="7" destOrd="0" parTransId="{688E7B62-4AD4-4233-8271-EAD0E65E200E}" sibTransId="{C0D120A2-F057-4FBB-9159-22EA2288E228}"/>
    <dgm:cxn modelId="{A94B31FB-A3E2-4CBB-B6CD-DE5DF0887218}" srcId="{A56156AF-C0D8-42D6-9229-FE44997E9BD6}" destId="{31C50871-C93A-4E24-9D30-0A15288A80CB}" srcOrd="5" destOrd="0" parTransId="{52B19DA5-7013-43EC-940B-74E016E7CBC4}" sibTransId="{CCC48337-52E2-4846-8C34-AC14F48D6395}"/>
    <dgm:cxn modelId="{70801610-7BEC-4EDA-99AF-4531041CB993}" type="presOf" srcId="{BC350339-E1FF-42EE-89FC-69F7838F8D81}" destId="{12F2BCD3-DEBC-44A8-930D-F62106FC812A}" srcOrd="1" destOrd="0" presId="urn:microsoft.com/office/officeart/2005/8/layout/radial1"/>
    <dgm:cxn modelId="{DA09DBA8-2910-451D-81A7-B68659567F91}" type="presOf" srcId="{C221BC33-BEFB-4FB0-99A8-61CBD0EF9000}" destId="{0E58A7B5-6DCB-43C1-A0AB-2D7764D02C1D}" srcOrd="0" destOrd="0" presId="urn:microsoft.com/office/officeart/2005/8/layout/radial1"/>
    <dgm:cxn modelId="{8564F0A2-D57B-445A-84D3-4101DD24DEC9}" srcId="{A56156AF-C0D8-42D6-9229-FE44997E9BD6}" destId="{C221BC33-BEFB-4FB0-99A8-61CBD0EF9000}" srcOrd="1" destOrd="0" parTransId="{5A1E1989-22BF-4111-97A6-01F6260F1A05}" sibTransId="{109965E6-CF81-4185-9AB0-6E389C2DC460}"/>
    <dgm:cxn modelId="{9F18C17A-4959-4076-9B7C-91313F1BBC8D}" type="presOf" srcId="{2627A63A-5397-4E1C-B74B-85614AA00EAA}" destId="{32DEA577-ECB1-42E7-B399-F7DEE07BD517}" srcOrd="0" destOrd="0" presId="urn:microsoft.com/office/officeart/2005/8/layout/radial1"/>
    <dgm:cxn modelId="{4B87B9FF-B84E-49AA-93CA-613309BAD7A5}" srcId="{A56156AF-C0D8-42D6-9229-FE44997E9BD6}" destId="{CBF875DB-31A2-4E67-B064-7CE49C46E449}" srcOrd="2" destOrd="0" parTransId="{5FAB704A-07F7-40E2-8285-10DFD799CABE}" sibTransId="{691A8160-0982-48F8-B03B-6798AD360938}"/>
    <dgm:cxn modelId="{A6EBD506-7E40-432B-B1C3-8A669CF548F1}" type="presOf" srcId="{CBF875DB-31A2-4E67-B064-7CE49C46E449}" destId="{B5CC4CE1-90B9-4076-BEBC-95FB138A3F17}" srcOrd="0" destOrd="0" presId="urn:microsoft.com/office/officeart/2005/8/layout/radial1"/>
    <dgm:cxn modelId="{016053F7-9F4A-4D9B-AEDC-0149E70B6AF4}" type="presOf" srcId="{BC350339-E1FF-42EE-89FC-69F7838F8D81}" destId="{A2EC5A32-5064-4F43-AEDA-C58E1F896EAC}" srcOrd="0" destOrd="0" presId="urn:microsoft.com/office/officeart/2005/8/layout/radial1"/>
    <dgm:cxn modelId="{A5B69044-0F5B-4C1D-817D-A02C814B9ACC}" type="presOf" srcId="{109E2B9B-4AF6-4B2B-AEA7-4310A2808557}" destId="{D48A78C3-28D3-4DF6-B82E-DFA7CCE54519}" srcOrd="0" destOrd="0" presId="urn:microsoft.com/office/officeart/2005/8/layout/radial1"/>
    <dgm:cxn modelId="{E8831423-C4FB-4CD0-B1A1-7ECC889BAA56}" srcId="{A56156AF-C0D8-42D6-9229-FE44997E9BD6}" destId="{0BFEE605-3F26-4344-A9FE-E3DB944AE0C7}" srcOrd="4" destOrd="0" parTransId="{BC350339-E1FF-42EE-89FC-69F7838F8D81}" sibTransId="{1251B501-EE49-4F7A-B677-6608E4F326C3}"/>
    <dgm:cxn modelId="{051E0D6C-1596-43D6-9AD3-242282676DF8}" type="presOf" srcId="{52B19DA5-7013-43EC-940B-74E016E7CBC4}" destId="{53B18F32-3813-413D-ADFB-60EBDD2CDCFC}" srcOrd="1" destOrd="0" presId="urn:microsoft.com/office/officeart/2005/8/layout/radial1"/>
    <dgm:cxn modelId="{3CD55D1E-9C8F-4BA7-B752-E494D1F266B7}" type="presOf" srcId="{52B19DA5-7013-43EC-940B-74E016E7CBC4}" destId="{EB3EE96A-A033-43B2-8371-0DD48202931B}" srcOrd="0" destOrd="0" presId="urn:microsoft.com/office/officeart/2005/8/layout/radial1"/>
    <dgm:cxn modelId="{1564C23F-978A-42CF-B7C9-A8C70BCB42DE}" type="presOf" srcId="{0497B7FA-B880-43FD-8485-2E83A2A58309}" destId="{08B02778-78FD-4A2F-A607-F18E7C89857C}" srcOrd="1" destOrd="0" presId="urn:microsoft.com/office/officeart/2005/8/layout/radial1"/>
    <dgm:cxn modelId="{30F48ABD-28E9-40AE-A9EF-F05F214FDD60}" srcId="{A56156AF-C0D8-42D6-9229-FE44997E9BD6}" destId="{D18F001B-3F9C-4752-B045-8F6F44167E2E}" srcOrd="6" destOrd="0" parTransId="{0497B7FA-B880-43FD-8485-2E83A2A58309}" sibTransId="{A94AD2B0-4C20-4CCA-8B8A-7170E7562092}"/>
    <dgm:cxn modelId="{3C6B7211-242B-44DA-B9C0-AC11437CFC25}" srcId="{A56156AF-C0D8-42D6-9229-FE44997E9BD6}" destId="{2627A63A-5397-4E1C-B74B-85614AA00EAA}" srcOrd="3" destOrd="0" parTransId="{04EC58B2-BEC1-42BC-8DBF-F771B67B9821}" sibTransId="{670010FE-FDEA-457E-BC6D-349FE3535359}"/>
    <dgm:cxn modelId="{115C42DB-DECB-4199-801E-D444A5A0BFB8}" type="presOf" srcId="{688E7B62-4AD4-4233-8271-EAD0E65E200E}" destId="{B0BA24B6-6039-49B0-9718-F9752FDC1B67}" srcOrd="1" destOrd="0" presId="urn:microsoft.com/office/officeart/2005/8/layout/radial1"/>
    <dgm:cxn modelId="{5D5624FA-F4EF-45ED-BD70-20F2FE5427E0}" type="presOf" srcId="{5FAB704A-07F7-40E2-8285-10DFD799CABE}" destId="{82628EB4-E261-48AE-A144-32C5EA7B9498}" srcOrd="0" destOrd="0" presId="urn:microsoft.com/office/officeart/2005/8/layout/radial1"/>
    <dgm:cxn modelId="{A3AF483B-7626-4170-B8D8-C8271CAD422D}" type="presOf" srcId="{1B50F53E-4AA2-4BB8-8C64-54C71C80DB4C}" destId="{2063C3AF-4D7E-4E00-A457-912BA89F651B}" srcOrd="0" destOrd="0" presId="urn:microsoft.com/office/officeart/2005/8/layout/radial1"/>
    <dgm:cxn modelId="{6E2D3347-636D-4355-8567-9651F258AC61}" type="presParOf" srcId="{867488C1-DD37-4D15-8E7D-8E022FA96B5D}" destId="{D0AC8069-BE1D-4207-AD59-5754C9327285}" srcOrd="0" destOrd="0" presId="urn:microsoft.com/office/officeart/2005/8/layout/radial1"/>
    <dgm:cxn modelId="{816FB6A5-5AE3-4C7E-82CA-B5A7CC94C743}" type="presParOf" srcId="{867488C1-DD37-4D15-8E7D-8E022FA96B5D}" destId="{2063C3AF-4D7E-4E00-A457-912BA89F651B}" srcOrd="1" destOrd="0" presId="urn:microsoft.com/office/officeart/2005/8/layout/radial1"/>
    <dgm:cxn modelId="{83941A1C-336F-44AE-A8E1-0CEAA9441B4F}" type="presParOf" srcId="{2063C3AF-4D7E-4E00-A457-912BA89F651B}" destId="{43469031-7B0E-436D-9A0E-FA385097A2FE}" srcOrd="0" destOrd="0" presId="urn:microsoft.com/office/officeart/2005/8/layout/radial1"/>
    <dgm:cxn modelId="{6E2BAF5F-2B2D-4051-9DF5-A0AC57AC4F4B}" type="presParOf" srcId="{867488C1-DD37-4D15-8E7D-8E022FA96B5D}" destId="{7873711D-5D73-4349-A06F-EE59D0AEA951}" srcOrd="2" destOrd="0" presId="urn:microsoft.com/office/officeart/2005/8/layout/radial1"/>
    <dgm:cxn modelId="{B1BC4AD3-32DC-4498-9578-03A76DC31035}" type="presParOf" srcId="{867488C1-DD37-4D15-8E7D-8E022FA96B5D}" destId="{FEB1254F-D581-41F9-868D-9995518E297C}" srcOrd="3" destOrd="0" presId="urn:microsoft.com/office/officeart/2005/8/layout/radial1"/>
    <dgm:cxn modelId="{67A6F986-7C9D-40B9-89AE-C16FBFE6175C}" type="presParOf" srcId="{FEB1254F-D581-41F9-868D-9995518E297C}" destId="{0C94AD54-4E9F-4DC1-87D6-B37DDFBEB656}" srcOrd="0" destOrd="0" presId="urn:microsoft.com/office/officeart/2005/8/layout/radial1"/>
    <dgm:cxn modelId="{5C954A74-2713-4805-B018-35FA8F2E41E6}" type="presParOf" srcId="{867488C1-DD37-4D15-8E7D-8E022FA96B5D}" destId="{0E58A7B5-6DCB-43C1-A0AB-2D7764D02C1D}" srcOrd="4" destOrd="0" presId="urn:microsoft.com/office/officeart/2005/8/layout/radial1"/>
    <dgm:cxn modelId="{1211A755-7C19-4C22-AA8B-2285FBD10A48}" type="presParOf" srcId="{867488C1-DD37-4D15-8E7D-8E022FA96B5D}" destId="{82628EB4-E261-48AE-A144-32C5EA7B9498}" srcOrd="5" destOrd="0" presId="urn:microsoft.com/office/officeart/2005/8/layout/radial1"/>
    <dgm:cxn modelId="{AD0B3A54-ABC7-48C2-89F7-525FF326215D}" type="presParOf" srcId="{82628EB4-E261-48AE-A144-32C5EA7B9498}" destId="{BBA60E91-F456-4ADF-8D2D-FCAF8992EC78}" srcOrd="0" destOrd="0" presId="urn:microsoft.com/office/officeart/2005/8/layout/radial1"/>
    <dgm:cxn modelId="{5CA81D75-5AED-49C9-914E-668802A33D18}" type="presParOf" srcId="{867488C1-DD37-4D15-8E7D-8E022FA96B5D}" destId="{B5CC4CE1-90B9-4076-BEBC-95FB138A3F17}" srcOrd="6" destOrd="0" presId="urn:microsoft.com/office/officeart/2005/8/layout/radial1"/>
    <dgm:cxn modelId="{77029940-3E2C-45B1-805D-098984897154}" type="presParOf" srcId="{867488C1-DD37-4D15-8E7D-8E022FA96B5D}" destId="{A79051E3-8926-43E5-8F7A-6BB568606A7B}" srcOrd="7" destOrd="0" presId="urn:microsoft.com/office/officeart/2005/8/layout/radial1"/>
    <dgm:cxn modelId="{32BB2A62-1819-4977-A356-A5963A6DC7C7}" type="presParOf" srcId="{A79051E3-8926-43E5-8F7A-6BB568606A7B}" destId="{22CBD48B-5E1B-4A2E-9DFF-E7A3DA116AFB}" srcOrd="0" destOrd="0" presId="urn:microsoft.com/office/officeart/2005/8/layout/radial1"/>
    <dgm:cxn modelId="{6CCE3963-CA76-466D-8C46-EEE3343FDFC9}" type="presParOf" srcId="{867488C1-DD37-4D15-8E7D-8E022FA96B5D}" destId="{32DEA577-ECB1-42E7-B399-F7DEE07BD517}" srcOrd="8" destOrd="0" presId="urn:microsoft.com/office/officeart/2005/8/layout/radial1"/>
    <dgm:cxn modelId="{11465E5D-B0EF-4543-A16D-D489201B9783}" type="presParOf" srcId="{867488C1-DD37-4D15-8E7D-8E022FA96B5D}" destId="{A2EC5A32-5064-4F43-AEDA-C58E1F896EAC}" srcOrd="9" destOrd="0" presId="urn:microsoft.com/office/officeart/2005/8/layout/radial1"/>
    <dgm:cxn modelId="{50F581C5-8F93-4F45-9C39-5871FA3FAE07}" type="presParOf" srcId="{A2EC5A32-5064-4F43-AEDA-C58E1F896EAC}" destId="{12F2BCD3-DEBC-44A8-930D-F62106FC812A}" srcOrd="0" destOrd="0" presId="urn:microsoft.com/office/officeart/2005/8/layout/radial1"/>
    <dgm:cxn modelId="{3FF10991-A9D9-4A04-BAEF-050227E7EAAB}" type="presParOf" srcId="{867488C1-DD37-4D15-8E7D-8E022FA96B5D}" destId="{E5D55CE2-98CD-4F3B-8E10-4FFBC563F8B6}" srcOrd="10" destOrd="0" presId="urn:microsoft.com/office/officeart/2005/8/layout/radial1"/>
    <dgm:cxn modelId="{02DCE6A3-FD21-45D4-AD25-8D59F14AFDAB}" type="presParOf" srcId="{867488C1-DD37-4D15-8E7D-8E022FA96B5D}" destId="{EB3EE96A-A033-43B2-8371-0DD48202931B}" srcOrd="11" destOrd="0" presId="urn:microsoft.com/office/officeart/2005/8/layout/radial1"/>
    <dgm:cxn modelId="{993FF930-3C4C-4BB1-8963-BB6CB027F793}" type="presParOf" srcId="{EB3EE96A-A033-43B2-8371-0DD48202931B}" destId="{53B18F32-3813-413D-ADFB-60EBDD2CDCFC}" srcOrd="0" destOrd="0" presId="urn:microsoft.com/office/officeart/2005/8/layout/radial1"/>
    <dgm:cxn modelId="{11C25F7E-18FB-4F27-84FF-7DD723345BDD}" type="presParOf" srcId="{867488C1-DD37-4D15-8E7D-8E022FA96B5D}" destId="{EA2208D9-6FDF-448C-B863-95FCC379F4B2}" srcOrd="12" destOrd="0" presId="urn:microsoft.com/office/officeart/2005/8/layout/radial1"/>
    <dgm:cxn modelId="{26564FD9-C533-4DEE-97D1-2BF6B10CF1DE}" type="presParOf" srcId="{867488C1-DD37-4D15-8E7D-8E022FA96B5D}" destId="{8D9B42CE-7BF9-4CC4-9E02-01849845E25A}" srcOrd="13" destOrd="0" presId="urn:microsoft.com/office/officeart/2005/8/layout/radial1"/>
    <dgm:cxn modelId="{3808BBB7-B788-49E3-85C1-B76C9067F794}" type="presParOf" srcId="{8D9B42CE-7BF9-4CC4-9E02-01849845E25A}" destId="{08B02778-78FD-4A2F-A607-F18E7C89857C}" srcOrd="0" destOrd="0" presId="urn:microsoft.com/office/officeart/2005/8/layout/radial1"/>
    <dgm:cxn modelId="{3AC93DEA-DAFF-4200-A450-3B275B7F992C}" type="presParOf" srcId="{867488C1-DD37-4D15-8E7D-8E022FA96B5D}" destId="{9C6A55A8-2348-4D3C-B024-E867D047F040}" srcOrd="14" destOrd="0" presId="urn:microsoft.com/office/officeart/2005/8/layout/radial1"/>
    <dgm:cxn modelId="{A32AC02C-D3A5-4574-B7A6-970CEDE0E276}" type="presParOf" srcId="{867488C1-DD37-4D15-8E7D-8E022FA96B5D}" destId="{3D32BF97-C63B-4EA9-89E0-13E18997CC86}" srcOrd="15" destOrd="0" presId="urn:microsoft.com/office/officeart/2005/8/layout/radial1"/>
    <dgm:cxn modelId="{D8D8C132-C4D4-449A-8923-55BBB3E4040C}" type="presParOf" srcId="{3D32BF97-C63B-4EA9-89E0-13E18997CC86}" destId="{B0BA24B6-6039-49B0-9718-F9752FDC1B67}" srcOrd="0" destOrd="0" presId="urn:microsoft.com/office/officeart/2005/8/layout/radial1"/>
    <dgm:cxn modelId="{FF0D4FB2-1AB4-46AF-AE52-E12DA7E8607A}" type="presParOf" srcId="{867488C1-DD37-4D15-8E7D-8E022FA96B5D}" destId="{D48A78C3-28D3-4DF6-B82E-DFA7CCE54519}" srcOrd="16"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AC8069-BE1D-4207-AD59-5754C9327285}">
      <dsp:nvSpPr>
        <dsp:cNvPr id="0" name=""/>
        <dsp:cNvSpPr/>
      </dsp:nvSpPr>
      <dsp:spPr>
        <a:xfrm>
          <a:off x="2142178" y="2045340"/>
          <a:ext cx="1189343" cy="1189343"/>
        </a:xfrm>
        <a:prstGeom prst="flowChartConnector">
          <a:avLst/>
        </a:prstGeom>
        <a:solidFill>
          <a:schemeClr val="accent1">
            <a:lumMod val="40000"/>
            <a:lumOff val="6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b="1" i="0" u="none" strike="noStrike" kern="1200" baseline="0" smtClean="0">
              <a:solidFill>
                <a:sysClr val="windowText" lastClr="000000"/>
              </a:solidFill>
              <a:latin typeface="Arial"/>
            </a:rPr>
            <a:t>Market Analysis</a:t>
          </a:r>
          <a:endParaRPr lang="en-GB" sz="1400" kern="1200" smtClean="0">
            <a:solidFill>
              <a:sysClr val="windowText" lastClr="000000"/>
            </a:solidFill>
          </a:endParaRPr>
        </a:p>
      </dsp:txBody>
      <dsp:txXfrm>
        <a:off x="2316353" y="2219515"/>
        <a:ext cx="840993" cy="840993"/>
      </dsp:txXfrm>
    </dsp:sp>
    <dsp:sp modelId="{2063C3AF-4D7E-4E00-A457-912BA89F651B}">
      <dsp:nvSpPr>
        <dsp:cNvPr id="0" name=""/>
        <dsp:cNvSpPr/>
      </dsp:nvSpPr>
      <dsp:spPr>
        <a:xfrm rot="16200000">
          <a:off x="2319758" y="1608693"/>
          <a:ext cx="834183" cy="39110"/>
        </a:xfrm>
        <a:custGeom>
          <a:avLst/>
          <a:gdLst/>
          <a:ahLst/>
          <a:cxnLst/>
          <a:rect l="0" t="0" r="0" b="0"/>
          <a:pathLst>
            <a:path>
              <a:moveTo>
                <a:pt x="0" y="19555"/>
              </a:moveTo>
              <a:lnTo>
                <a:pt x="834183" y="19555"/>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5995" y="1607394"/>
        <a:ext cx="41709" cy="41709"/>
      </dsp:txXfrm>
    </dsp:sp>
    <dsp:sp modelId="{7873711D-5D73-4349-A06F-EE59D0AEA951}">
      <dsp:nvSpPr>
        <dsp:cNvPr id="0" name=""/>
        <dsp:cNvSpPr/>
      </dsp:nvSpPr>
      <dsp:spPr>
        <a:xfrm>
          <a:off x="2142178" y="21813"/>
          <a:ext cx="1189343" cy="1189343"/>
        </a:xfrm>
        <a:prstGeom prst="flowChartConnector">
          <a:avLst/>
        </a:prstGeom>
        <a:solidFill>
          <a:schemeClr val="accent1">
            <a:lumMod val="40000"/>
            <a:lumOff val="6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1" i="0" u="none" strike="noStrike" kern="1200" baseline="0" smtClean="0">
              <a:solidFill>
                <a:sysClr val="windowText" lastClr="000000"/>
              </a:solidFill>
              <a:latin typeface="Arial"/>
            </a:rPr>
            <a:t>Agree scope and define market segment</a:t>
          </a:r>
          <a:endParaRPr lang="en-GB" sz="800" kern="1200" smtClean="0">
            <a:solidFill>
              <a:sysClr val="windowText" lastClr="000000"/>
            </a:solidFill>
          </a:endParaRPr>
        </a:p>
      </dsp:txBody>
      <dsp:txXfrm>
        <a:off x="2316353" y="195988"/>
        <a:ext cx="840993" cy="840993"/>
      </dsp:txXfrm>
    </dsp:sp>
    <dsp:sp modelId="{FEB1254F-D581-41F9-868D-9995518E297C}">
      <dsp:nvSpPr>
        <dsp:cNvPr id="0" name=""/>
        <dsp:cNvSpPr/>
      </dsp:nvSpPr>
      <dsp:spPr>
        <a:xfrm rot="18900000">
          <a:off x="3035182" y="1905032"/>
          <a:ext cx="834183" cy="39110"/>
        </a:xfrm>
        <a:custGeom>
          <a:avLst/>
          <a:gdLst/>
          <a:ahLst/>
          <a:cxnLst/>
          <a:rect l="0" t="0" r="0" b="0"/>
          <a:pathLst>
            <a:path>
              <a:moveTo>
                <a:pt x="0" y="19555"/>
              </a:moveTo>
              <a:lnTo>
                <a:pt x="834183" y="19555"/>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31420" y="1903732"/>
        <a:ext cx="41709" cy="41709"/>
      </dsp:txXfrm>
    </dsp:sp>
    <dsp:sp modelId="{0E58A7B5-6DCB-43C1-A0AB-2D7764D02C1D}">
      <dsp:nvSpPr>
        <dsp:cNvPr id="0" name=""/>
        <dsp:cNvSpPr/>
      </dsp:nvSpPr>
      <dsp:spPr>
        <a:xfrm>
          <a:off x="3573028" y="614490"/>
          <a:ext cx="1189343" cy="1189343"/>
        </a:xfrm>
        <a:prstGeom prst="ellipse">
          <a:avLst/>
        </a:prstGeom>
        <a:solidFill>
          <a:schemeClr val="accent1">
            <a:lumMod val="40000"/>
            <a:lumOff val="6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1" i="0" u="none" strike="noStrike" kern="1200" baseline="0" smtClean="0">
              <a:solidFill>
                <a:sysClr val="windowText" lastClr="000000"/>
              </a:solidFill>
              <a:latin typeface="Arial"/>
            </a:rPr>
            <a:t>Assess market needs and demand</a:t>
          </a:r>
          <a:endParaRPr lang="en-GB" sz="800" kern="1200" smtClean="0">
            <a:solidFill>
              <a:sysClr val="windowText" lastClr="000000"/>
            </a:solidFill>
          </a:endParaRPr>
        </a:p>
      </dsp:txBody>
      <dsp:txXfrm>
        <a:off x="3747203" y="788665"/>
        <a:ext cx="840993" cy="840993"/>
      </dsp:txXfrm>
    </dsp:sp>
    <dsp:sp modelId="{82628EB4-E261-48AE-A144-32C5EA7B9498}">
      <dsp:nvSpPr>
        <dsp:cNvPr id="0" name=""/>
        <dsp:cNvSpPr/>
      </dsp:nvSpPr>
      <dsp:spPr>
        <a:xfrm>
          <a:off x="3331521" y="2620457"/>
          <a:ext cx="834183" cy="39110"/>
        </a:xfrm>
        <a:custGeom>
          <a:avLst/>
          <a:gdLst/>
          <a:ahLst/>
          <a:cxnLst/>
          <a:rect l="0" t="0" r="0" b="0"/>
          <a:pathLst>
            <a:path>
              <a:moveTo>
                <a:pt x="0" y="19555"/>
              </a:moveTo>
              <a:lnTo>
                <a:pt x="834183" y="19555"/>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727759" y="2619157"/>
        <a:ext cx="41709" cy="41709"/>
      </dsp:txXfrm>
    </dsp:sp>
    <dsp:sp modelId="{B5CC4CE1-90B9-4076-BEBC-95FB138A3F17}">
      <dsp:nvSpPr>
        <dsp:cNvPr id="0" name=""/>
        <dsp:cNvSpPr/>
      </dsp:nvSpPr>
      <dsp:spPr>
        <a:xfrm>
          <a:off x="4165705" y="2045340"/>
          <a:ext cx="1189343" cy="1189343"/>
        </a:xfrm>
        <a:prstGeom prst="ellipse">
          <a:avLst/>
        </a:prstGeom>
        <a:solidFill>
          <a:schemeClr val="accent1">
            <a:lumMod val="40000"/>
            <a:lumOff val="6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en-GB" sz="800" b="1" i="0" u="none" strike="noStrike" kern="1200" baseline="0" smtClean="0">
            <a:latin typeface="Arial"/>
          </a:endParaRPr>
        </a:p>
        <a:p>
          <a:pPr marR="0" lvl="0" algn="ctr" defTabSz="355600" rtl="0">
            <a:lnSpc>
              <a:spcPct val="90000"/>
            </a:lnSpc>
            <a:spcBef>
              <a:spcPct val="0"/>
            </a:spcBef>
            <a:spcAft>
              <a:spcPct val="35000"/>
            </a:spcAft>
          </a:pPr>
          <a:r>
            <a:rPr lang="en-GB" sz="800" b="1" i="0" u="none" strike="noStrike" kern="1200" baseline="0" smtClean="0">
              <a:solidFill>
                <a:sysClr val="windowText" lastClr="000000"/>
              </a:solidFill>
              <a:latin typeface="Arial"/>
            </a:rPr>
            <a:t> Assess current market performance </a:t>
          </a:r>
        </a:p>
        <a:p>
          <a:pPr marR="0" lvl="0" algn="ctr" defTabSz="355600" rtl="0">
            <a:lnSpc>
              <a:spcPct val="90000"/>
            </a:lnSpc>
            <a:spcBef>
              <a:spcPct val="0"/>
            </a:spcBef>
            <a:spcAft>
              <a:spcPct val="35000"/>
            </a:spcAft>
          </a:pPr>
          <a:endParaRPr lang="en-GB" sz="800" b="1" i="0" u="none" strike="noStrike" kern="1200" baseline="0" smtClean="0">
            <a:solidFill>
              <a:sysClr val="windowText" lastClr="000000"/>
            </a:solidFill>
            <a:latin typeface="Arial"/>
          </a:endParaRPr>
        </a:p>
      </dsp:txBody>
      <dsp:txXfrm>
        <a:off x="4339880" y="2219515"/>
        <a:ext cx="840993" cy="840993"/>
      </dsp:txXfrm>
    </dsp:sp>
    <dsp:sp modelId="{A79051E3-8926-43E5-8F7A-6BB568606A7B}">
      <dsp:nvSpPr>
        <dsp:cNvPr id="0" name=""/>
        <dsp:cNvSpPr/>
      </dsp:nvSpPr>
      <dsp:spPr>
        <a:xfrm rot="2700000">
          <a:off x="3035182" y="3335881"/>
          <a:ext cx="834183" cy="39110"/>
        </a:xfrm>
        <a:custGeom>
          <a:avLst/>
          <a:gdLst/>
          <a:ahLst/>
          <a:cxnLst/>
          <a:rect l="0" t="0" r="0" b="0"/>
          <a:pathLst>
            <a:path>
              <a:moveTo>
                <a:pt x="0" y="19555"/>
              </a:moveTo>
              <a:lnTo>
                <a:pt x="834183" y="19555"/>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31420" y="3334582"/>
        <a:ext cx="41709" cy="41709"/>
      </dsp:txXfrm>
    </dsp:sp>
    <dsp:sp modelId="{32DEA577-ECB1-42E7-B399-F7DEE07BD517}">
      <dsp:nvSpPr>
        <dsp:cNvPr id="0" name=""/>
        <dsp:cNvSpPr/>
      </dsp:nvSpPr>
      <dsp:spPr>
        <a:xfrm>
          <a:off x="3573028" y="3476190"/>
          <a:ext cx="1189343" cy="1189343"/>
        </a:xfrm>
        <a:prstGeom prst="ellipse">
          <a:avLst/>
        </a:prstGeom>
        <a:solidFill>
          <a:schemeClr val="accent1">
            <a:lumMod val="40000"/>
            <a:lumOff val="6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1" i="0" u="none" strike="noStrike" kern="1200" baseline="0" smtClean="0">
              <a:solidFill>
                <a:sysClr val="windowText" lastClr="000000"/>
              </a:solidFill>
              <a:latin typeface="Arial"/>
            </a:rPr>
            <a:t>Provider analysis</a:t>
          </a:r>
        </a:p>
      </dsp:txBody>
      <dsp:txXfrm>
        <a:off x="3747203" y="3650365"/>
        <a:ext cx="840993" cy="840993"/>
      </dsp:txXfrm>
    </dsp:sp>
    <dsp:sp modelId="{A2EC5A32-5064-4F43-AEDA-C58E1F896EAC}">
      <dsp:nvSpPr>
        <dsp:cNvPr id="0" name=""/>
        <dsp:cNvSpPr/>
      </dsp:nvSpPr>
      <dsp:spPr>
        <a:xfrm rot="5400000">
          <a:off x="2319758" y="3632220"/>
          <a:ext cx="834183" cy="39110"/>
        </a:xfrm>
        <a:custGeom>
          <a:avLst/>
          <a:gdLst/>
          <a:ahLst/>
          <a:cxnLst/>
          <a:rect l="0" t="0" r="0" b="0"/>
          <a:pathLst>
            <a:path>
              <a:moveTo>
                <a:pt x="0" y="19555"/>
              </a:moveTo>
              <a:lnTo>
                <a:pt x="834183" y="19555"/>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5995" y="3630921"/>
        <a:ext cx="41709" cy="41709"/>
      </dsp:txXfrm>
    </dsp:sp>
    <dsp:sp modelId="{E5D55CE2-98CD-4F3B-8E10-4FFBC563F8B6}">
      <dsp:nvSpPr>
        <dsp:cNvPr id="0" name=""/>
        <dsp:cNvSpPr/>
      </dsp:nvSpPr>
      <dsp:spPr>
        <a:xfrm>
          <a:off x="2142178" y="4068868"/>
          <a:ext cx="1189343" cy="1189343"/>
        </a:xfrm>
        <a:prstGeom prst="ellipse">
          <a:avLst/>
        </a:prstGeom>
        <a:solidFill>
          <a:schemeClr val="accent1">
            <a:lumMod val="40000"/>
            <a:lumOff val="6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1" i="0" u="none" strike="noStrike" kern="1200" baseline="0" smtClean="0">
              <a:solidFill>
                <a:sysClr val="windowText" lastClr="000000"/>
              </a:solidFill>
              <a:latin typeface="Arial"/>
            </a:rPr>
            <a:t>Assess competitive environment</a:t>
          </a:r>
        </a:p>
      </dsp:txBody>
      <dsp:txXfrm>
        <a:off x="2316353" y="4243043"/>
        <a:ext cx="840993" cy="840993"/>
      </dsp:txXfrm>
    </dsp:sp>
    <dsp:sp modelId="{EB3EE96A-A033-43B2-8371-0DD48202931B}">
      <dsp:nvSpPr>
        <dsp:cNvPr id="0" name=""/>
        <dsp:cNvSpPr/>
      </dsp:nvSpPr>
      <dsp:spPr>
        <a:xfrm rot="8100000">
          <a:off x="1604333" y="3335881"/>
          <a:ext cx="834183" cy="39110"/>
        </a:xfrm>
        <a:custGeom>
          <a:avLst/>
          <a:gdLst/>
          <a:ahLst/>
          <a:cxnLst/>
          <a:rect l="0" t="0" r="0" b="0"/>
          <a:pathLst>
            <a:path>
              <a:moveTo>
                <a:pt x="0" y="19555"/>
              </a:moveTo>
              <a:lnTo>
                <a:pt x="834183" y="19555"/>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000570" y="3334582"/>
        <a:ext cx="41709" cy="41709"/>
      </dsp:txXfrm>
    </dsp:sp>
    <dsp:sp modelId="{EA2208D9-6FDF-448C-B863-95FCC379F4B2}">
      <dsp:nvSpPr>
        <dsp:cNvPr id="0" name=""/>
        <dsp:cNvSpPr/>
      </dsp:nvSpPr>
      <dsp:spPr>
        <a:xfrm>
          <a:off x="711328" y="3476190"/>
          <a:ext cx="1189343" cy="1189343"/>
        </a:xfrm>
        <a:prstGeom prst="ellipse">
          <a:avLst/>
        </a:prstGeom>
        <a:solidFill>
          <a:schemeClr val="accent1">
            <a:lumMod val="40000"/>
            <a:lumOff val="6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1" i="0" u="none" strike="noStrike" kern="1200" baseline="0" smtClean="0">
              <a:solidFill>
                <a:sysClr val="windowText" lastClr="000000"/>
              </a:solidFill>
              <a:latin typeface="Arial"/>
            </a:rPr>
            <a:t>Map out preferred future provider landscape </a:t>
          </a:r>
        </a:p>
      </dsp:txBody>
      <dsp:txXfrm>
        <a:off x="885503" y="3650365"/>
        <a:ext cx="840993" cy="840993"/>
      </dsp:txXfrm>
    </dsp:sp>
    <dsp:sp modelId="{8D9B42CE-7BF9-4CC4-9E02-01849845E25A}">
      <dsp:nvSpPr>
        <dsp:cNvPr id="0" name=""/>
        <dsp:cNvSpPr/>
      </dsp:nvSpPr>
      <dsp:spPr>
        <a:xfrm rot="10800000">
          <a:off x="1307994" y="2620457"/>
          <a:ext cx="834183" cy="39110"/>
        </a:xfrm>
        <a:custGeom>
          <a:avLst/>
          <a:gdLst/>
          <a:ahLst/>
          <a:cxnLst/>
          <a:rect l="0" t="0" r="0" b="0"/>
          <a:pathLst>
            <a:path>
              <a:moveTo>
                <a:pt x="0" y="19555"/>
              </a:moveTo>
              <a:lnTo>
                <a:pt x="834183" y="19555"/>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704231" y="2619157"/>
        <a:ext cx="41709" cy="41709"/>
      </dsp:txXfrm>
    </dsp:sp>
    <dsp:sp modelId="{9C6A55A8-2348-4D3C-B024-E867D047F040}">
      <dsp:nvSpPr>
        <dsp:cNvPr id="0" name=""/>
        <dsp:cNvSpPr/>
      </dsp:nvSpPr>
      <dsp:spPr>
        <a:xfrm>
          <a:off x="118651" y="2045340"/>
          <a:ext cx="1189343" cy="1189343"/>
        </a:xfrm>
        <a:prstGeom prst="ellipse">
          <a:avLst/>
        </a:prstGeom>
        <a:solidFill>
          <a:schemeClr val="accent1">
            <a:lumMod val="40000"/>
            <a:lumOff val="6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1" i="0" u="none" strike="noStrike" kern="1200" baseline="0" smtClean="0">
              <a:solidFill>
                <a:sysClr val="windowText" lastClr="000000"/>
              </a:solidFill>
              <a:latin typeface="Arial"/>
            </a:rPr>
            <a:t>Assess market intervention levers</a:t>
          </a:r>
        </a:p>
      </dsp:txBody>
      <dsp:txXfrm>
        <a:off x="292826" y="2219515"/>
        <a:ext cx="840993" cy="840993"/>
      </dsp:txXfrm>
    </dsp:sp>
    <dsp:sp modelId="{3D32BF97-C63B-4EA9-89E0-13E18997CC86}">
      <dsp:nvSpPr>
        <dsp:cNvPr id="0" name=""/>
        <dsp:cNvSpPr/>
      </dsp:nvSpPr>
      <dsp:spPr>
        <a:xfrm rot="13500000">
          <a:off x="1604333" y="1905032"/>
          <a:ext cx="834183" cy="39110"/>
        </a:xfrm>
        <a:custGeom>
          <a:avLst/>
          <a:gdLst/>
          <a:ahLst/>
          <a:cxnLst/>
          <a:rect l="0" t="0" r="0" b="0"/>
          <a:pathLst>
            <a:path>
              <a:moveTo>
                <a:pt x="0" y="19555"/>
              </a:moveTo>
              <a:lnTo>
                <a:pt x="834183" y="19555"/>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000570" y="1903732"/>
        <a:ext cx="41709" cy="41709"/>
      </dsp:txXfrm>
    </dsp:sp>
    <dsp:sp modelId="{D48A78C3-28D3-4DF6-B82E-DFA7CCE54519}">
      <dsp:nvSpPr>
        <dsp:cNvPr id="0" name=""/>
        <dsp:cNvSpPr/>
      </dsp:nvSpPr>
      <dsp:spPr>
        <a:xfrm>
          <a:off x="711328" y="614490"/>
          <a:ext cx="1189343" cy="1189343"/>
        </a:xfrm>
        <a:prstGeom prst="ellipse">
          <a:avLst/>
        </a:prstGeom>
        <a:solidFill>
          <a:schemeClr val="accent1">
            <a:lumMod val="40000"/>
            <a:lumOff val="6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1" i="0" u="none" strike="noStrike" kern="1200" baseline="0" smtClean="0">
              <a:solidFill>
                <a:sysClr val="windowText" lastClr="000000"/>
              </a:solidFill>
              <a:latin typeface="Arial"/>
            </a:rPr>
            <a:t>Implementation Plan</a:t>
          </a:r>
          <a:endParaRPr lang="en-GB" sz="800" kern="1200" smtClean="0">
            <a:solidFill>
              <a:sysClr val="windowText" lastClr="000000"/>
            </a:solidFill>
          </a:endParaRPr>
        </a:p>
      </dsp:txBody>
      <dsp:txXfrm>
        <a:off x="885503" y="788665"/>
        <a:ext cx="840993" cy="84099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E99A2-E286-4F2E-8D41-26A724CD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9577</Words>
  <Characters>54594</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64043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porterd</dc:creator>
  <cp:keywords/>
  <dc:description/>
  <cp:lastModifiedBy>Garland Yvonne</cp:lastModifiedBy>
  <cp:revision>3</cp:revision>
  <cp:lastPrinted>2013-03-22T15:16:00Z</cp:lastPrinted>
  <dcterms:created xsi:type="dcterms:W3CDTF">2013-03-25T15:13:00Z</dcterms:created>
  <dcterms:modified xsi:type="dcterms:W3CDTF">2013-03-25T16:47:00Z</dcterms:modified>
</cp:coreProperties>
</file>