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8E" w:rsidRDefault="005047CC">
      <w:pPr>
        <w:tabs>
          <w:tab w:val="left" w:pos="6806"/>
        </w:tabs>
        <w:ind w:left="95"/>
        <w:rPr>
          <w:rFonts w:ascii="Times New Roman"/>
          <w:sz w:val="20"/>
        </w:rPr>
      </w:pPr>
      <w:r>
        <w:rPr>
          <w:rFonts w:ascii="Times New Roman"/>
          <w:spacing w:val="-49"/>
          <w:sz w:val="20"/>
        </w:rPr>
        <w:t xml:space="preserve"> </w:t>
      </w:r>
      <w:r>
        <w:rPr>
          <w:rFonts w:ascii="Times New Roman"/>
          <w:noProof/>
          <w:spacing w:val="-49"/>
          <w:position w:val="2"/>
          <w:sz w:val="20"/>
          <w:lang w:val="en-GB" w:eastAsia="en-GB"/>
        </w:rPr>
        <mc:AlternateContent>
          <mc:Choice Requires="wps">
            <w:drawing>
              <wp:inline distT="0" distB="0" distL="0" distR="0">
                <wp:extent cx="2638425" cy="811530"/>
                <wp:effectExtent l="10160" t="6350" r="8890" b="10795"/>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115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33C8E" w:rsidRDefault="005047CC">
                            <w:pPr>
                              <w:spacing w:before="70" w:line="271" w:lineRule="auto"/>
                              <w:ind w:left="144" w:right="2523"/>
                              <w:rPr>
                                <w:rFonts w:ascii="Calibri"/>
                                <w:b/>
                              </w:rPr>
                            </w:pPr>
                            <w:r>
                              <w:rPr>
                                <w:rFonts w:ascii="Calibri"/>
                                <w:b/>
                              </w:rPr>
                              <w:t xml:space="preserve">Policy Category: </w:t>
                            </w:r>
                            <w:r>
                              <w:rPr>
                                <w:rFonts w:ascii="Calibri"/>
                                <w:b/>
                                <w:color w:val="FF0000"/>
                              </w:rPr>
                              <w:t>CBA</w:t>
                            </w:r>
                          </w:p>
                          <w:p w:rsidR="00F33C8E" w:rsidRDefault="005047CC">
                            <w:pPr>
                              <w:spacing w:before="1" w:line="278" w:lineRule="auto"/>
                              <w:ind w:left="144" w:right="992"/>
                              <w:rPr>
                                <w:rFonts w:ascii="Calibri"/>
                                <w:b/>
                              </w:rPr>
                            </w:pPr>
                            <w:r>
                              <w:rPr>
                                <w:rFonts w:ascii="Calibri"/>
                                <w:b/>
                              </w:rPr>
                              <w:t xml:space="preserve">Who usually applies for funding? </w:t>
                            </w:r>
                            <w:r w:rsidR="00575BF6">
                              <w:rPr>
                                <w:rFonts w:ascii="Calibri"/>
                                <w:b/>
                                <w:color w:val="FF0000"/>
                              </w:rPr>
                              <w:t>Not A</w:t>
                            </w:r>
                            <w:bookmarkStart w:id="0" w:name="_GoBack"/>
                            <w:bookmarkEnd w:id="0"/>
                            <w:r>
                              <w:rPr>
                                <w:rFonts w:ascii="Calibri"/>
                                <w:b/>
                                <w:color w:val="FF0000"/>
                              </w:rPr>
                              <w:t>pplicable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07.75pt;height:6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" filled="f">
                <v:textbox inset="0,0,0,0">
                  <w:txbxContent>
                    <w:p w:rsidR="00F33C8E" w:rsidRDefault="005047CC">
                      <w:pPr>
                        <w:spacing w:before="70" w:line="271" w:lineRule="auto"/>
                        <w:ind w:left="144" w:right="2523"/>
                        <w:rPr>
                          <w:rFonts w:ascii="Calibri"/>
                          <w:b/>
                        </w:rPr>
                      </w:pPr>
                      <w:r>
                        <w:rPr>
                          <w:rFonts w:ascii="Calibri"/>
                          <w:b/>
                        </w:rPr>
                        <w:t xml:space="preserve">Policy Category: </w:t>
                      </w:r>
                      <w:r>
                        <w:rPr>
                          <w:rFonts w:ascii="Calibri"/>
                          <w:b/>
                          <w:color w:val="FF0000"/>
                        </w:rPr>
                        <w:t>CBA</w:t>
                      </w:r>
                    </w:p>
                    <w:p w:rsidR="00F33C8E" w:rsidRDefault="005047CC">
                      <w:pPr>
                        <w:spacing w:before="1" w:line="278" w:lineRule="auto"/>
                        <w:ind w:left="144" w:right="992"/>
                        <w:rPr>
                          <w:rFonts w:ascii="Calibri"/>
                          <w:b/>
                        </w:rPr>
                      </w:pPr>
                      <w:r>
                        <w:rPr>
                          <w:rFonts w:ascii="Calibri"/>
                          <w:b/>
                        </w:rPr>
                        <w:t xml:space="preserve">Who usually applies for funding? </w:t>
                      </w:r>
                      <w:r w:rsidR="00575BF6">
                        <w:rPr>
                          <w:rFonts w:ascii="Calibri"/>
                          <w:b/>
                          <w:color w:val="FF0000"/>
                        </w:rPr>
                        <w:t>Not A</w:t>
                      </w:r>
                      <w:bookmarkStart w:id="1" w:name="_GoBack"/>
                      <w:bookmarkEnd w:id="1"/>
                      <w:r>
                        <w:rPr>
                          <w:rFonts w:ascii="Calibri"/>
                          <w:b/>
                          <w:color w:val="FF0000"/>
                        </w:rPr>
                        <w:t>pplicable</w:t>
                      </w:r>
                    </w:p>
                  </w:txbxContent>
                </v:textbox>
                <w10:anchorlock/>
              </v:shape>
            </w:pict>
          </mc:Fallback>
        </mc:AlternateContent>
      </w:r>
      <w:r>
        <w:rPr>
          <w:rFonts w:ascii="Times New Roman"/>
          <w:spacing w:val="-49"/>
          <w:position w:val="2"/>
          <w:sz w:val="20"/>
        </w:rPr>
        <w:tab/>
      </w:r>
      <w:r>
        <w:rPr>
          <w:rFonts w:ascii="Times New Roman"/>
          <w:noProof/>
          <w:spacing w:val="-49"/>
          <w:sz w:val="20"/>
          <w:lang w:val="en-GB" w:eastAsia="en-GB"/>
        </w:rPr>
        <w:drawing>
          <wp:inline distT="0" distB="0" distL="0" distR="0">
            <wp:extent cx="2512612" cy="102320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511144" cy="1022603"/>
                    </a:xfrm>
                    <a:prstGeom prst="rect">
                      <a:avLst/>
                    </a:prstGeom>
                  </pic:spPr>
                </pic:pic>
              </a:graphicData>
            </a:graphic>
          </wp:inline>
        </w:drawing>
      </w:r>
    </w:p>
    <w:p w:rsidR="00F33C8E" w:rsidRDefault="00F33C8E">
      <w:pPr>
        <w:pStyle w:val="BodyText"/>
        <w:spacing w:before="2"/>
        <w:rPr>
          <w:rFonts w:ascii="Times New Roman"/>
          <w:sz w:val="6"/>
        </w:rPr>
      </w:pPr>
    </w:p>
    <w:p w:rsidR="00F33C8E" w:rsidRDefault="005047CC">
      <w:pPr>
        <w:pStyle w:val="Heading1"/>
        <w:spacing w:before="92"/>
        <w:ind w:left="4072"/>
      </w:pPr>
      <w:r>
        <w:t>Non-specific low back pain</w:t>
      </w:r>
    </w:p>
    <w:p w:rsidR="00F33C8E" w:rsidRDefault="00F33C8E">
      <w:pPr>
        <w:pStyle w:val="BodyText"/>
        <w:rPr>
          <w:b/>
          <w:sz w:val="20"/>
        </w:rPr>
      </w:pPr>
    </w:p>
    <w:p w:rsidR="00F33C8E" w:rsidRDefault="00F33C8E">
      <w:pPr>
        <w:pStyle w:val="BodyText"/>
        <w:spacing w:before="7"/>
        <w:rPr>
          <w:b/>
          <w:sz w:val="11"/>
        </w:rPr>
      </w:pP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F33C8E">
        <w:trPr>
          <w:trHeight w:hRule="exact" w:val="770"/>
        </w:trPr>
        <w:tc>
          <w:tcPr>
            <w:tcW w:w="2093" w:type="dxa"/>
            <w:shd w:val="clear" w:color="auto" w:fill="D9D9D9"/>
          </w:tcPr>
          <w:p w:rsidR="00F33C8E" w:rsidRDefault="005047CC">
            <w:pPr>
              <w:pStyle w:val="TableParagraph"/>
              <w:spacing w:line="240" w:lineRule="auto"/>
              <w:ind w:right="160"/>
              <w:rPr>
                <w:b/>
                <w:sz w:val="24"/>
              </w:rPr>
            </w:pPr>
            <w:r>
              <w:rPr>
                <w:b/>
                <w:sz w:val="24"/>
              </w:rPr>
              <w:t>Commissioning decision</w:t>
            </w:r>
          </w:p>
        </w:tc>
        <w:tc>
          <w:tcPr>
            <w:tcW w:w="7151" w:type="dxa"/>
          </w:tcPr>
          <w:p w:rsidR="00F33C8E" w:rsidRDefault="005047CC">
            <w:pPr>
              <w:pStyle w:val="TableParagraph"/>
              <w:spacing w:line="240" w:lineRule="auto"/>
              <w:ind w:right="356"/>
              <w:rPr>
                <w:b/>
              </w:rPr>
            </w:pPr>
            <w:r>
              <w:rPr>
                <w:b/>
              </w:rPr>
              <w:t>The CCG will provide funding for surgical treatment for patients with non-specific low back pain who meet the criteria defined within this policy.</w:t>
            </w:r>
          </w:p>
        </w:tc>
      </w:tr>
    </w:tbl>
    <w:p w:rsidR="00F33C8E" w:rsidRDefault="00F33C8E">
      <w:pPr>
        <w:pStyle w:val="BodyText"/>
        <w:spacing w:before="11"/>
        <w:rPr>
          <w:b/>
          <w:sz w:val="26"/>
        </w:rPr>
      </w:pPr>
    </w:p>
    <w:p w:rsidR="00F33C8E" w:rsidRDefault="005047CC">
      <w:pPr>
        <w:ind w:left="1100"/>
        <w:rPr>
          <w:b/>
          <w:sz w:val="24"/>
        </w:rPr>
      </w:pPr>
      <w:r>
        <w:rPr>
          <w:noProof/>
          <w:lang w:val="en-GB" w:eastAsia="en-GB"/>
        </w:rPr>
        <mc:AlternateContent>
          <mc:Choice Requires="wpg">
            <w:drawing>
              <wp:anchor distT="0" distB="0" distL="0" distR="0" simplePos="0" relativeHeight="1144" behindDoc="0" locked="0" layoutInCell="1" allowOverlap="1" wp14:anchorId="68D4993D" wp14:editId="3F07B218">
                <wp:simplePos x="0" y="0"/>
                <wp:positionH relativeFrom="page">
                  <wp:posOffset>842645</wp:posOffset>
                </wp:positionH>
                <wp:positionV relativeFrom="paragraph">
                  <wp:posOffset>200660</wp:posOffset>
                </wp:positionV>
                <wp:extent cx="5869940" cy="3745230"/>
                <wp:effectExtent l="0" t="0" r="16510" b="2667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3745230"/>
                          <a:chOff x="1332" y="328"/>
                          <a:chExt cx="9244" cy="5898"/>
                        </a:xfrm>
                      </wpg:grpSpPr>
                      <wps:wsp>
                        <wps:cNvPr id="8" name="Rectangle 10"/>
                        <wps:cNvSpPr>
                          <a:spLocks noChangeArrowheads="1"/>
                        </wps:cNvSpPr>
                        <wps:spPr bwMode="auto">
                          <a:xfrm>
                            <a:off x="1332" y="328"/>
                            <a:ext cx="9244" cy="5898"/>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9"/>
                        <wps:cNvSpPr txBox="1">
                          <a:spLocks noChangeArrowheads="1"/>
                        </wps:cNvSpPr>
                        <wps:spPr bwMode="auto">
                          <a:xfrm>
                            <a:off x="1440" y="337"/>
                            <a:ext cx="8535"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C8E" w:rsidRDefault="005047CC">
                              <w:pPr>
                                <w:spacing w:line="242" w:lineRule="auto"/>
                                <w:ind w:right="3"/>
                              </w:pPr>
                              <w:r>
                                <w:t>Surgical treatment for non-specific low back pain is considered to be a procedure of low clinical priority. These procedures are therefore not normally funded.</w:t>
                              </w:r>
                            </w:p>
                            <w:p w:rsidR="00F33C8E" w:rsidRDefault="00F33C8E">
                              <w:pPr>
                                <w:spacing w:before="4"/>
                                <w:rPr>
                                  <w:b/>
                                </w:rPr>
                              </w:pPr>
                            </w:p>
                            <w:p w:rsidR="00F33C8E" w:rsidRDefault="005047CC">
                              <w:pPr>
                                <w:spacing w:line="252" w:lineRule="exact"/>
                              </w:pPr>
                              <w:r>
                                <w:t>Only consider referral for surgical opinion for people who:</w:t>
                              </w:r>
                            </w:p>
                            <w:p w:rsidR="00F33C8E" w:rsidRDefault="00F33C8E">
                              <w:pPr>
                                <w:spacing w:line="269" w:lineRule="exact"/>
                                <w:ind w:left="360"/>
                                <w:rPr>
                                  <w:rFonts w:ascii="Symbol" w:hAnsi="Symbol"/>
                                </w:rPr>
                              </w:pPr>
                            </w:p>
                          </w:txbxContent>
                        </wps:txbx>
                        <wps:bodyPr rot="0" vert="horz" wrap="square" lIns="0" tIns="0" rIns="0" bIns="0" anchor="t" anchorCtr="0" upright="1">
                          <a:noAutofit/>
                        </wps:bodyPr>
                      </wps:wsp>
                      <wps:wsp>
                        <wps:cNvPr id="10" name="Text Box 8"/>
                        <wps:cNvSpPr txBox="1">
                          <a:spLocks noChangeArrowheads="1"/>
                        </wps:cNvSpPr>
                        <wps:spPr bwMode="auto">
                          <a:xfrm>
                            <a:off x="1800" y="1843"/>
                            <a:ext cx="122" cy="2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C8E" w:rsidRPr="00575BF6" w:rsidRDefault="005047CC" w:rsidP="00575BF6">
                              <w:pPr>
                                <w:pStyle w:val="ListParagraph"/>
                                <w:numPr>
                                  <w:ilvl w:val="0"/>
                                  <w:numId w:val="5"/>
                                </w:numPr>
                                <w:spacing w:before="1"/>
                                <w:rPr>
                                  <w:rFonts w:ascii="Symbol" w:hAnsi="Symbol"/>
                                </w:rPr>
                              </w:pPr>
                              <w:r w:rsidRPr="00575BF6">
                                <w:rPr>
                                  <w:rFonts w:ascii="Symbol" w:hAnsi="Symbol"/>
                                </w:rPr>
                                <w:t></w:t>
                              </w:r>
                            </w:p>
                            <w:p w:rsidR="00F33C8E" w:rsidRDefault="00F33C8E" w:rsidP="00575BF6">
                              <w:pPr>
                                <w:rPr>
                                  <w:b/>
                                  <w:sz w:val="26"/>
                                </w:rPr>
                              </w:pPr>
                            </w:p>
                            <w:p w:rsidR="00F33C8E" w:rsidRPr="00575BF6" w:rsidRDefault="005047CC" w:rsidP="00575BF6">
                              <w:pPr>
                                <w:pStyle w:val="ListParagraph"/>
                                <w:numPr>
                                  <w:ilvl w:val="0"/>
                                  <w:numId w:val="5"/>
                                </w:numPr>
                                <w:spacing w:before="204"/>
                                <w:rPr>
                                  <w:rFonts w:ascii="Symbol" w:hAnsi="Symbol"/>
                                </w:rPr>
                              </w:pPr>
                              <w:r w:rsidRPr="00575BF6">
                                <w:rPr>
                                  <w:rFonts w:ascii="Symbol" w:hAnsi="Symbol"/>
                                </w:rPr>
                                <w:t></w:t>
                              </w:r>
                            </w:p>
                            <w:p w:rsidR="00575BF6" w:rsidRDefault="00575BF6" w:rsidP="00575BF6">
                              <w:pPr>
                                <w:spacing w:before="204"/>
                                <w:rPr>
                                  <w:rFonts w:ascii="Symbol" w:hAnsi="Symbol"/>
                                </w:rPr>
                              </w:pPr>
                            </w:p>
                            <w:p w:rsidR="00575BF6" w:rsidRPr="00575BF6" w:rsidRDefault="00575BF6" w:rsidP="00575BF6">
                              <w:pPr>
                                <w:spacing w:before="204"/>
                                <w:ind w:left="360"/>
                                <w:rPr>
                                  <w:rFonts w:ascii="Symbol" w:hAnsi="Symbol"/>
                                </w:rPr>
                              </w:pPr>
                            </w:p>
                          </w:txbxContent>
                        </wps:txbx>
                        <wps:bodyPr rot="0" vert="horz" wrap="square" lIns="0" tIns="0" rIns="0" bIns="0" anchor="t" anchorCtr="0" upright="1">
                          <a:noAutofit/>
                        </wps:bodyPr>
                      </wps:wsp>
                      <wps:wsp>
                        <wps:cNvPr id="11" name="Text Box 7"/>
                        <wps:cNvSpPr txBox="1">
                          <a:spLocks noChangeArrowheads="1"/>
                        </wps:cNvSpPr>
                        <wps:spPr bwMode="auto">
                          <a:xfrm>
                            <a:off x="2160" y="1364"/>
                            <a:ext cx="8233" cy="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BF6" w:rsidRDefault="005047CC">
                              <w:pPr>
                                <w:ind w:right="-5"/>
                              </w:pPr>
                              <w:r>
                                <w:t xml:space="preserve">Have completed an optimal package of care, including 6 months of multi-modal exercise including mobility, strengthening and cardiovascular fitness </w:t>
                              </w:r>
                            </w:p>
                            <w:p w:rsidR="00575BF6" w:rsidRPr="00575BF6" w:rsidRDefault="00575BF6">
                              <w:pPr>
                                <w:ind w:right="-5"/>
                                <w:rPr>
                                  <w:b/>
                                </w:rPr>
                              </w:pPr>
                              <w:r w:rsidRPr="00575BF6">
                                <w:rPr>
                                  <w:b/>
                                </w:rPr>
                                <w:t>AND</w:t>
                              </w:r>
                              <w:r w:rsidR="005047CC" w:rsidRPr="00575BF6">
                                <w:rPr>
                                  <w:b/>
                                </w:rPr>
                                <w:t xml:space="preserve"> </w:t>
                              </w:r>
                            </w:p>
                            <w:p w:rsidR="00F33C8E" w:rsidRDefault="00575BF6">
                              <w:pPr>
                                <w:ind w:right="-5"/>
                              </w:pPr>
                              <w:r>
                                <w:t>A</w:t>
                              </w:r>
                              <w:r w:rsidR="005047CC">
                                <w:t xml:space="preserve"> psychological assessment </w:t>
                              </w:r>
                              <w:proofErr w:type="spellStart"/>
                              <w:r w:rsidR="005047CC">
                                <w:t>programme</w:t>
                              </w:r>
                              <w:proofErr w:type="spellEnd"/>
                              <w:r w:rsidR="005047CC">
                                <w:t xml:space="preserve"> (including CBT as part of an appropriate level of physiotherapy intervention)</w:t>
                              </w:r>
                            </w:p>
                            <w:p w:rsidR="00F33C8E" w:rsidRDefault="005047CC">
                              <w:pPr>
                                <w:spacing w:before="6" w:line="250" w:lineRule="exact"/>
                                <w:rPr>
                                  <w:b/>
                                </w:rPr>
                              </w:pPr>
                              <w:r>
                                <w:rPr>
                                  <w:b/>
                                </w:rPr>
                                <w:t>AND</w:t>
                              </w:r>
                            </w:p>
                            <w:p w:rsidR="00F33C8E" w:rsidRDefault="005047CC">
                              <w:pPr>
                                <w:spacing w:before="17"/>
                                <w:ind w:right="44"/>
                              </w:pPr>
                              <w:r>
                                <w:t>Continue to have severe non-specific low back pain for which they are ready for and willing to have surgery</w:t>
                              </w:r>
                            </w:p>
                            <w:p w:rsidR="00F33C8E" w:rsidRDefault="005047CC">
                              <w:pPr>
                                <w:spacing w:line="250" w:lineRule="exact"/>
                                <w:rPr>
                                  <w:b/>
                                </w:rPr>
                              </w:pPr>
                              <w:r>
                                <w:rPr>
                                  <w:b/>
                                </w:rPr>
                                <w:t>AND</w:t>
                              </w:r>
                            </w:p>
                            <w:p w:rsidR="00F33C8E" w:rsidRDefault="005047CC">
                              <w:pPr>
                                <w:spacing w:before="19"/>
                                <w:ind w:right="178"/>
                              </w:pPr>
                              <w:r>
                                <w:t>Multidisciplinary assessment suggests that benefits of intervention will exceed the risks and full attempt at non-invasive management of greater than 1 year has been tried.</w:t>
                              </w:r>
                            </w:p>
                          </w:txbxContent>
                        </wps:txbx>
                        <wps:bodyPr rot="0" vert="horz" wrap="square" lIns="0" tIns="0" rIns="0" bIns="0" anchor="t" anchorCtr="0" upright="1">
                          <a:noAutofit/>
                        </wps:bodyPr>
                      </wps:wsp>
                      <wps:wsp>
                        <wps:cNvPr id="12" name="Text Box 6"/>
                        <wps:cNvSpPr txBox="1">
                          <a:spLocks noChangeArrowheads="1"/>
                        </wps:cNvSpPr>
                        <wps:spPr bwMode="auto">
                          <a:xfrm>
                            <a:off x="1440" y="4430"/>
                            <a:ext cx="8933"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C8E" w:rsidRDefault="005047CC">
                              <w:pPr>
                                <w:ind w:right="255"/>
                              </w:pPr>
                              <w:r>
                                <w:t xml:space="preserve">The management of the following conditions is not covered by this policy: malignancy, infection, fracture, ankylosing spondylitis and other inflammatory disorders, radicular pain resulting from nerve root compression or cauda </w:t>
                              </w:r>
                              <w:proofErr w:type="spellStart"/>
                              <w:r>
                                <w:t>equina</w:t>
                              </w:r>
                              <w:proofErr w:type="spellEnd"/>
                              <w:r>
                                <w:t xml:space="preserve"> syndrome.</w:t>
                              </w:r>
                            </w:p>
                            <w:p w:rsidR="00F33C8E" w:rsidRDefault="00F33C8E">
                              <w:pPr>
                                <w:spacing w:before="7"/>
                                <w:rPr>
                                  <w:b/>
                                </w:rPr>
                              </w:pPr>
                            </w:p>
                            <w:p w:rsidR="00F33C8E" w:rsidRDefault="005047CC">
                              <w:pPr>
                                <w:spacing w:line="244" w:lineRule="auto"/>
                                <w:ind w:right="-2"/>
                              </w:pPr>
                              <w:r>
                                <w:t>Back pain with possible serious pathologies, red flag symptoms, should be referred urgently as per usual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left:0;text-align:left;margin-left:66.35pt;margin-top:15.8pt;width:462.2pt;height:294.9pt;z-index:1144;mso-wrap-distance-left:0;mso-wrap-distance-right:0;mso-position-horizontal-relative:page;mso-position-vertical-relative:text" coordorigin="1332,328" coordsize="9244,5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">
                <v:rect id="Rectangle 10" o:spid="_x0000_s1028" style="position:absolute;left:1332;top:328;width:9244;height:5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2nrb0A&#10;AADaAAAADwAAAGRycy9kb3ducmV2LnhtbERPTYvCMBC9C/sfwgjeNHUPIl2jiCCsixersNehGdti&#10;MymZaLv7681B8Ph436vN4Fr1oCCNZwPzWQaKuPS24crA5byfLkFJRLbYeiYDfySwWX+MVphb3/OJ&#10;HkWsVAphydFAHWOXay1lTQ5l5jvixF19cBgTDJW2AfsU7lr9mWUL7bDh1FBjR7uayltxdwbO/rj9&#10;D4f5z69mJ8UOZcG9GDMZD9svUJGG+Ba/3N/WQNqarqQboNd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32nrb0AAADaAAAADwAAAAAAAAAAAAAAAACYAgAAZHJzL2Rvd25yZXYu&#10;eG1sUEsFBgAAAAAEAAQA9QAAAIIDAAAAAA==&#10;" filled="f" strokeweight=".16936mm"/>
                <v:shape id="Text Box 9" o:spid="_x0000_s1029" type="#_x0000_t202" style="position:absolute;left:1440;top:337;width:8535;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F33C8E" w:rsidRDefault="005047CC">
                        <w:pPr>
                          <w:spacing w:line="242" w:lineRule="auto"/>
                          <w:ind w:right="3"/>
                        </w:pPr>
                        <w:r>
                          <w:t>Surgical treatment for non-specific low back pain is considered to be a procedure of low clinical priority. These procedures are therefore not normally funded.</w:t>
                        </w:r>
                      </w:p>
                      <w:p w:rsidR="00F33C8E" w:rsidRDefault="00F33C8E">
                        <w:pPr>
                          <w:spacing w:before="4"/>
                          <w:rPr>
                            <w:b/>
                          </w:rPr>
                        </w:pPr>
                      </w:p>
                      <w:p w:rsidR="00F33C8E" w:rsidRDefault="005047CC">
                        <w:pPr>
                          <w:spacing w:line="252" w:lineRule="exact"/>
                        </w:pPr>
                        <w:r>
                          <w:t>Only consider referral for surgical opinion for people who:</w:t>
                        </w:r>
                      </w:p>
                      <w:p w:rsidR="00F33C8E" w:rsidRDefault="00F33C8E">
                        <w:pPr>
                          <w:spacing w:line="269" w:lineRule="exact"/>
                          <w:ind w:left="360"/>
                          <w:rPr>
                            <w:rFonts w:ascii="Symbol" w:hAnsi="Symbol"/>
                          </w:rPr>
                        </w:pPr>
                      </w:p>
                    </w:txbxContent>
                  </v:textbox>
                </v:shape>
                <v:shape id="Text Box 8" o:spid="_x0000_s1030" type="#_x0000_t202" style="position:absolute;left:1800;top:1843;width:122;height:2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33C8E" w:rsidRPr="00575BF6" w:rsidRDefault="005047CC" w:rsidP="00575BF6">
                        <w:pPr>
                          <w:pStyle w:val="ListParagraph"/>
                          <w:numPr>
                            <w:ilvl w:val="0"/>
                            <w:numId w:val="5"/>
                          </w:numPr>
                          <w:spacing w:before="1"/>
                          <w:rPr>
                            <w:rFonts w:ascii="Symbol" w:hAnsi="Symbol"/>
                          </w:rPr>
                        </w:pPr>
                        <w:r w:rsidRPr="00575BF6">
                          <w:rPr>
                            <w:rFonts w:ascii="Symbol" w:hAnsi="Symbol"/>
                          </w:rPr>
                          <w:t></w:t>
                        </w:r>
                      </w:p>
                      <w:p w:rsidR="00F33C8E" w:rsidRDefault="00F33C8E" w:rsidP="00575BF6">
                        <w:pPr>
                          <w:rPr>
                            <w:b/>
                            <w:sz w:val="26"/>
                          </w:rPr>
                        </w:pPr>
                      </w:p>
                      <w:p w:rsidR="00F33C8E" w:rsidRPr="00575BF6" w:rsidRDefault="005047CC" w:rsidP="00575BF6">
                        <w:pPr>
                          <w:pStyle w:val="ListParagraph"/>
                          <w:numPr>
                            <w:ilvl w:val="0"/>
                            <w:numId w:val="5"/>
                          </w:numPr>
                          <w:spacing w:before="204"/>
                          <w:rPr>
                            <w:rFonts w:ascii="Symbol" w:hAnsi="Symbol"/>
                          </w:rPr>
                        </w:pPr>
                        <w:r w:rsidRPr="00575BF6">
                          <w:rPr>
                            <w:rFonts w:ascii="Symbol" w:hAnsi="Symbol"/>
                          </w:rPr>
                          <w:t></w:t>
                        </w:r>
                      </w:p>
                      <w:p w:rsidR="00575BF6" w:rsidRDefault="00575BF6" w:rsidP="00575BF6">
                        <w:pPr>
                          <w:spacing w:before="204"/>
                          <w:rPr>
                            <w:rFonts w:ascii="Symbol" w:hAnsi="Symbol"/>
                          </w:rPr>
                        </w:pPr>
                      </w:p>
                      <w:p w:rsidR="00575BF6" w:rsidRPr="00575BF6" w:rsidRDefault="00575BF6" w:rsidP="00575BF6">
                        <w:pPr>
                          <w:spacing w:before="204"/>
                          <w:ind w:left="360"/>
                          <w:rPr>
                            <w:rFonts w:ascii="Symbol" w:hAnsi="Symbol"/>
                          </w:rPr>
                        </w:pPr>
                      </w:p>
                    </w:txbxContent>
                  </v:textbox>
                </v:shape>
                <v:shape id="Text Box 7" o:spid="_x0000_s1031" type="#_x0000_t202" style="position:absolute;left:2160;top:1364;width:8233;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575BF6" w:rsidRDefault="005047CC">
                        <w:pPr>
                          <w:ind w:right="-5"/>
                        </w:pPr>
                        <w:r>
                          <w:t xml:space="preserve">Have completed an optimal package of care, including 6 months of multi-modal exercise including mobility, strengthening and cardiovascular fitness </w:t>
                        </w:r>
                      </w:p>
                      <w:p w:rsidR="00575BF6" w:rsidRPr="00575BF6" w:rsidRDefault="00575BF6">
                        <w:pPr>
                          <w:ind w:right="-5"/>
                          <w:rPr>
                            <w:b/>
                          </w:rPr>
                        </w:pPr>
                        <w:r w:rsidRPr="00575BF6">
                          <w:rPr>
                            <w:b/>
                          </w:rPr>
                          <w:t>AND</w:t>
                        </w:r>
                        <w:r w:rsidR="005047CC" w:rsidRPr="00575BF6">
                          <w:rPr>
                            <w:b/>
                          </w:rPr>
                          <w:t xml:space="preserve"> </w:t>
                        </w:r>
                      </w:p>
                      <w:p w:rsidR="00F33C8E" w:rsidRDefault="00575BF6">
                        <w:pPr>
                          <w:ind w:right="-5"/>
                        </w:pPr>
                        <w:r>
                          <w:t>A</w:t>
                        </w:r>
                        <w:r w:rsidR="005047CC">
                          <w:t xml:space="preserve"> psychological assessment </w:t>
                        </w:r>
                        <w:proofErr w:type="spellStart"/>
                        <w:r w:rsidR="005047CC">
                          <w:t>programme</w:t>
                        </w:r>
                        <w:proofErr w:type="spellEnd"/>
                        <w:r w:rsidR="005047CC">
                          <w:t xml:space="preserve"> (including CBT as part of an appropriate level of physiotherapy intervention)</w:t>
                        </w:r>
                      </w:p>
                      <w:p w:rsidR="00F33C8E" w:rsidRDefault="005047CC">
                        <w:pPr>
                          <w:spacing w:before="6" w:line="250" w:lineRule="exact"/>
                          <w:rPr>
                            <w:b/>
                          </w:rPr>
                        </w:pPr>
                        <w:r>
                          <w:rPr>
                            <w:b/>
                          </w:rPr>
                          <w:t>AND</w:t>
                        </w:r>
                      </w:p>
                      <w:p w:rsidR="00F33C8E" w:rsidRDefault="005047CC">
                        <w:pPr>
                          <w:spacing w:before="17"/>
                          <w:ind w:right="44"/>
                        </w:pPr>
                        <w:r>
                          <w:t>Continue to have severe non-specific low back pain for which they are ready for and willing to have surgery</w:t>
                        </w:r>
                      </w:p>
                      <w:p w:rsidR="00F33C8E" w:rsidRDefault="005047CC">
                        <w:pPr>
                          <w:spacing w:line="250" w:lineRule="exact"/>
                          <w:rPr>
                            <w:b/>
                          </w:rPr>
                        </w:pPr>
                        <w:r>
                          <w:rPr>
                            <w:b/>
                          </w:rPr>
                          <w:t>AND</w:t>
                        </w:r>
                      </w:p>
                      <w:p w:rsidR="00F33C8E" w:rsidRDefault="005047CC">
                        <w:pPr>
                          <w:spacing w:before="19"/>
                          <w:ind w:right="178"/>
                        </w:pPr>
                        <w:r>
                          <w:t>Multidisciplinary assessment suggests that benefits of intervention will exceed the risks and full attempt at non-invasive management of greater than 1 year has been tried.</w:t>
                        </w:r>
                      </w:p>
                    </w:txbxContent>
                  </v:textbox>
                </v:shape>
                <v:shape id="Text Box 6" o:spid="_x0000_s1032" type="#_x0000_t202" style="position:absolute;left:1440;top:4430;width:8933;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F33C8E" w:rsidRDefault="005047CC">
                        <w:pPr>
                          <w:ind w:right="255"/>
                        </w:pPr>
                        <w:r>
                          <w:t xml:space="preserve">The management of the following conditions is not covered by this policy: malignancy, infection, fracture, ankylosing spondylitis and other inflammatory disorders, radicular pain resulting from nerve root compression or cauda </w:t>
                        </w:r>
                        <w:proofErr w:type="spellStart"/>
                        <w:r>
                          <w:t>equina</w:t>
                        </w:r>
                        <w:proofErr w:type="spellEnd"/>
                        <w:r>
                          <w:t xml:space="preserve"> syndrome.</w:t>
                        </w:r>
                      </w:p>
                      <w:p w:rsidR="00F33C8E" w:rsidRDefault="00F33C8E">
                        <w:pPr>
                          <w:spacing w:before="7"/>
                          <w:rPr>
                            <w:b/>
                          </w:rPr>
                        </w:pPr>
                      </w:p>
                      <w:p w:rsidR="00F33C8E" w:rsidRDefault="005047CC">
                        <w:pPr>
                          <w:spacing w:line="244" w:lineRule="auto"/>
                          <w:ind w:right="-2"/>
                        </w:pPr>
                        <w:r>
                          <w:t>Back pain with possible serious pathologies, red flag symptoms, should be referred urgently as per usual practice.</w:t>
                        </w:r>
                      </w:p>
                    </w:txbxContent>
                  </v:textbox>
                </v:shape>
                <w10:wrap type="topAndBottom" anchorx="page"/>
              </v:group>
            </w:pict>
          </mc:Fallback>
        </mc:AlternateContent>
      </w:r>
      <w:r>
        <w:rPr>
          <w:b/>
          <w:sz w:val="24"/>
        </w:rPr>
        <w:t>Policy Statement:</w:t>
      </w:r>
    </w:p>
    <w:p w:rsidR="00F33C8E" w:rsidRDefault="00F33C8E">
      <w:pPr>
        <w:pStyle w:val="BodyText"/>
        <w:spacing w:before="2"/>
        <w:rPr>
          <w:b/>
          <w:sz w:val="23"/>
        </w:rPr>
      </w:pPr>
    </w:p>
    <w:p w:rsidR="00F33C8E" w:rsidRDefault="005047CC">
      <w:pPr>
        <w:pStyle w:val="Heading1"/>
      </w:pPr>
      <w:r>
        <w:rPr>
          <w:noProof/>
          <w:lang w:val="en-GB" w:eastAsia="en-GB"/>
        </w:rPr>
        <mc:AlternateContent>
          <mc:Choice Requires="wps">
            <w:drawing>
              <wp:anchor distT="0" distB="0" distL="0" distR="0" simplePos="0" relativeHeight="1168" behindDoc="0" locked="0" layoutInCell="1" allowOverlap="1">
                <wp:simplePos x="0" y="0"/>
                <wp:positionH relativeFrom="page">
                  <wp:posOffset>845820</wp:posOffset>
                </wp:positionH>
                <wp:positionV relativeFrom="paragraph">
                  <wp:posOffset>207010</wp:posOffset>
                </wp:positionV>
                <wp:extent cx="5869940" cy="1332865"/>
                <wp:effectExtent l="7620" t="5715" r="8890" b="1397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3328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33C8E" w:rsidRDefault="005047CC">
                            <w:pPr>
                              <w:pStyle w:val="BodyText"/>
                              <w:ind w:left="103" w:right="139"/>
                            </w:pPr>
                            <w:r>
                              <w:t xml:space="preserve">Advice and information to promote self-management of low back pain should be offered to all patients. NICE recommends offering one of the following treatment options, taking into account patient preference: an exercise </w:t>
                            </w:r>
                            <w:proofErr w:type="spellStart"/>
                            <w:r>
                              <w:t>programme</w:t>
                            </w:r>
                            <w:proofErr w:type="spellEnd"/>
                            <w:r>
                              <w:t xml:space="preserve">, a course of manual therapy or a course of acupuncture. Another of these options should be considered if the chosen treatment does not result in satisfactory improvement. NHS Choices advises patients that ‘Pain management </w:t>
                            </w:r>
                            <w:proofErr w:type="spellStart"/>
                            <w:r>
                              <w:t>programmes</w:t>
                            </w:r>
                            <w:proofErr w:type="spellEnd"/>
                            <w:r>
                              <w:t xml:space="preserve"> can help you to learn how to manage your pain, increase your activities and have a better quality of life. This is done with a combination of group therapy, exercises, relaxation and education about pain and the psychology of</w:t>
                            </w:r>
                            <w:r>
                              <w:rPr>
                                <w:spacing w:val="-23"/>
                              </w:rPr>
                              <w:t xml:space="preserve"> </w:t>
                            </w:r>
                            <w:r>
                              <w:t>pain.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66.6pt;margin-top:16.3pt;width:462.2pt;height:104.9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" filled="f" strokeweight=".16936mm">
                <v:textbox inset="0,0,0,0">
                  <w:txbxContent>
                    <w:p w:rsidR="00F33C8E" w:rsidRDefault="005047CC">
                      <w:pPr>
                        <w:pStyle w:val="BodyText"/>
                        <w:ind w:left="103" w:right="139"/>
                      </w:pPr>
                      <w:r>
                        <w:t xml:space="preserve">Advice and information to promote self-management of low back pain should be offered to all patients. NICE recommends offering one of the following treatment options, taking into account patient preference: an exercise </w:t>
                      </w:r>
                      <w:proofErr w:type="spellStart"/>
                      <w:r>
                        <w:t>programme</w:t>
                      </w:r>
                      <w:proofErr w:type="spellEnd"/>
                      <w:r>
                        <w:t xml:space="preserve">, a course of manual therapy or a course of acupuncture. Another of these options should be considered if the chosen treatment does not result in satisfactory improvement. NHS Choices advises patients that ‘Pain management </w:t>
                      </w:r>
                      <w:proofErr w:type="spellStart"/>
                      <w:r>
                        <w:t>programmes</w:t>
                      </w:r>
                      <w:proofErr w:type="spellEnd"/>
                      <w:r>
                        <w:t xml:space="preserve"> can help you to learn how to manage your pain, increase your activities and have a better quality of life. This is done with a combination of group therapy, exercises, relaxation and education about pain and the psychology of</w:t>
                      </w:r>
                      <w:r>
                        <w:rPr>
                          <w:spacing w:val="-23"/>
                        </w:rPr>
                        <w:t xml:space="preserve"> </w:t>
                      </w:r>
                      <w:r>
                        <w:t>pain.</w:t>
                      </w:r>
                    </w:p>
                  </w:txbxContent>
                </v:textbox>
                <w10:wrap type="topAndBottom" anchorx="page"/>
              </v:shape>
            </w:pict>
          </mc:Fallback>
        </mc:AlternateContent>
      </w:r>
      <w:r>
        <w:t>Rationale:</w:t>
      </w:r>
    </w:p>
    <w:p w:rsidR="00F33C8E" w:rsidRDefault="00F33C8E">
      <w:pPr>
        <w:pStyle w:val="BodyText"/>
        <w:spacing w:before="4"/>
        <w:rPr>
          <w:b/>
          <w:sz w:val="23"/>
        </w:rPr>
      </w:pPr>
    </w:p>
    <w:p w:rsidR="00F33C8E" w:rsidRDefault="005047CC">
      <w:pPr>
        <w:pStyle w:val="Heading1"/>
      </w:pPr>
      <w:r>
        <w:rPr>
          <w:noProof/>
          <w:lang w:val="en-GB" w:eastAsia="en-GB"/>
        </w:rPr>
        <mc:AlternateContent>
          <mc:Choice Requires="wps">
            <w:drawing>
              <wp:anchor distT="0" distB="0" distL="0" distR="0" simplePos="0" relativeHeight="1192" behindDoc="0" locked="0" layoutInCell="1" allowOverlap="1">
                <wp:simplePos x="0" y="0"/>
                <wp:positionH relativeFrom="page">
                  <wp:posOffset>845820</wp:posOffset>
                </wp:positionH>
                <wp:positionV relativeFrom="paragraph">
                  <wp:posOffset>205740</wp:posOffset>
                </wp:positionV>
                <wp:extent cx="5869940" cy="1943735"/>
                <wp:effectExtent l="7620" t="12700" r="8890" b="571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9437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33C8E" w:rsidRDefault="005047CC">
                            <w:pPr>
                              <w:pStyle w:val="BodyText"/>
                              <w:spacing w:line="250" w:lineRule="exact"/>
                              <w:ind w:left="103"/>
                            </w:pPr>
                            <w:r>
                              <w:t>Back pain is a common problem that affects most people at some point in their life.</w:t>
                            </w:r>
                          </w:p>
                          <w:p w:rsidR="00F33C8E" w:rsidRDefault="005047CC">
                            <w:pPr>
                              <w:pStyle w:val="BodyText"/>
                              <w:spacing w:before="1"/>
                              <w:ind w:left="103" w:right="169"/>
                            </w:pPr>
                            <w:r>
                              <w:t xml:space="preserve">In most cases, back pain will improve in a few weeks or months, although some people experience long-term pain or pain that keeps coming back. It may be triggered by bad posture while sitting or standing, bending awkwardly, or lifting incorrectly. It’s not generally caused by a serious condition. Most cases of back pain get better </w:t>
                            </w:r>
                            <w:proofErr w:type="gramStart"/>
                            <w:r>
                              <w:t>on their own</w:t>
                            </w:r>
                            <w:proofErr w:type="gramEnd"/>
                            <w:r>
                              <w:t xml:space="preserve"> and you may not need to see a doctor.</w:t>
                            </w:r>
                          </w:p>
                          <w:p w:rsidR="00675E46" w:rsidRDefault="00675E46">
                            <w:pPr>
                              <w:pStyle w:val="BodyText"/>
                              <w:spacing w:before="1"/>
                              <w:ind w:left="103" w:right="169"/>
                            </w:pPr>
                            <w:r>
                              <w:t>When back pain is persistent there are a number of treatment options that may be considered including painkillers, exercise, physiotherapy, acupuncture and counselling (such as cognitive behavioral therapy).  Spinal surgery is an option but is usually only recommended when all else has failed and the criteria set out in this policy reflect this view.</w:t>
                            </w:r>
                          </w:p>
                          <w:p w:rsidR="00675E46" w:rsidRDefault="00675E46">
                            <w:pPr>
                              <w:pStyle w:val="BodyText"/>
                              <w:spacing w:before="1"/>
                              <w:ind w:left="103" w:right="169"/>
                            </w:pPr>
                            <w:r>
                              <w:t>If your doctor believes that you meet the criteria set out in this policy the CCG will fund your treatment.</w:t>
                            </w:r>
                          </w:p>
                          <w:p w:rsidR="00675E46" w:rsidRDefault="00675E46">
                            <w:pPr>
                              <w:pStyle w:val="BodyText"/>
                              <w:spacing w:before="1"/>
                              <w:ind w:left="103" w:right="169"/>
                            </w:pPr>
                          </w:p>
                          <w:p w:rsidR="00D16153" w:rsidRDefault="00D16153">
                            <w:pPr>
                              <w:pStyle w:val="BodyText"/>
                              <w:spacing w:before="1"/>
                              <w:ind w:left="103" w:right="169"/>
                            </w:pPr>
                          </w:p>
                          <w:p w:rsidR="00D16153" w:rsidRDefault="00D16153">
                            <w:pPr>
                              <w:pStyle w:val="BodyText"/>
                              <w:spacing w:before="1"/>
                              <w:ind w:left="103" w:right="169"/>
                            </w:pPr>
                          </w:p>
                          <w:p w:rsidR="00D16153" w:rsidRDefault="00D16153">
                            <w:pPr>
                              <w:pStyle w:val="BodyText"/>
                              <w:spacing w:before="1"/>
                              <w:ind w:left="103" w:right="169"/>
                            </w:pPr>
                          </w:p>
                          <w:p w:rsidR="00D16153" w:rsidRDefault="00D16153">
                            <w:pPr>
                              <w:pStyle w:val="BodyText"/>
                              <w:spacing w:before="1"/>
                              <w:ind w:left="103" w:right="169"/>
                            </w:pPr>
                          </w:p>
                          <w:p w:rsidR="00D16153" w:rsidRDefault="00D16153">
                            <w:pPr>
                              <w:pStyle w:val="BodyText"/>
                              <w:spacing w:before="1"/>
                              <w:ind w:left="103" w:right="16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66.6pt;margin-top:16.2pt;width:462.2pt;height:153.0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" filled="f" strokeweight=".16936mm">
                <v:textbox inset="0,0,0,0">
                  <w:txbxContent>
                    <w:p w:rsidR="00F33C8E" w:rsidRDefault="005047CC">
                      <w:pPr>
                        <w:pStyle w:val="BodyText"/>
                        <w:spacing w:line="250" w:lineRule="exact"/>
                        <w:ind w:left="103"/>
                      </w:pPr>
                      <w:r>
                        <w:t>Back pain is a common problem that affects most people at some point in their life.</w:t>
                      </w:r>
                    </w:p>
                    <w:p w:rsidR="00F33C8E" w:rsidRDefault="005047CC">
                      <w:pPr>
                        <w:pStyle w:val="BodyText"/>
                        <w:spacing w:before="1"/>
                        <w:ind w:left="103" w:right="169"/>
                      </w:pPr>
                      <w:r>
                        <w:t xml:space="preserve">In most cases, back pain will improve in a few weeks or months, although some people experience long-term pain or pain that keeps coming back. It may be triggered by bad posture while sitting or standing, bending awkwardly, or lifting incorrectly. It’s not generally caused by a serious condition. Most cases of back pain get better </w:t>
                      </w:r>
                      <w:proofErr w:type="gramStart"/>
                      <w:r>
                        <w:t>on their own</w:t>
                      </w:r>
                      <w:proofErr w:type="gramEnd"/>
                      <w:r>
                        <w:t xml:space="preserve"> and you may not need to see a doctor.</w:t>
                      </w:r>
                    </w:p>
                    <w:p w:rsidR="00675E46" w:rsidRDefault="00675E46">
                      <w:pPr>
                        <w:pStyle w:val="BodyText"/>
                        <w:spacing w:before="1"/>
                        <w:ind w:left="103" w:right="169"/>
                      </w:pPr>
                      <w:r>
                        <w:t>When back pain is persistent there are a number of treatment options that may be considered including painkillers, exercise, physiotherapy, acupuncture and counselling (such as cognitive behavioral therapy).  Spinal surgery is an option but is usually only recommended when all else has failed and the criteria set out in this policy reflect this view.</w:t>
                      </w:r>
                    </w:p>
                    <w:p w:rsidR="00675E46" w:rsidRDefault="00675E46">
                      <w:pPr>
                        <w:pStyle w:val="BodyText"/>
                        <w:spacing w:before="1"/>
                        <w:ind w:left="103" w:right="169"/>
                      </w:pPr>
                      <w:r>
                        <w:t>If your doctor believes that you meet the criteria set out in this policy the CCG will fund your treatment.</w:t>
                      </w:r>
                    </w:p>
                    <w:p w:rsidR="00675E46" w:rsidRDefault="00675E46">
                      <w:pPr>
                        <w:pStyle w:val="BodyText"/>
                        <w:spacing w:before="1"/>
                        <w:ind w:left="103" w:right="169"/>
                      </w:pPr>
                    </w:p>
                    <w:p w:rsidR="00D16153" w:rsidRDefault="00D16153">
                      <w:pPr>
                        <w:pStyle w:val="BodyText"/>
                        <w:spacing w:before="1"/>
                        <w:ind w:left="103" w:right="169"/>
                      </w:pPr>
                    </w:p>
                    <w:p w:rsidR="00D16153" w:rsidRDefault="00D16153">
                      <w:pPr>
                        <w:pStyle w:val="BodyText"/>
                        <w:spacing w:before="1"/>
                        <w:ind w:left="103" w:right="169"/>
                      </w:pPr>
                    </w:p>
                    <w:p w:rsidR="00D16153" w:rsidRDefault="00D16153">
                      <w:pPr>
                        <w:pStyle w:val="BodyText"/>
                        <w:spacing w:before="1"/>
                        <w:ind w:left="103" w:right="169"/>
                      </w:pPr>
                    </w:p>
                    <w:p w:rsidR="00D16153" w:rsidRDefault="00D16153">
                      <w:pPr>
                        <w:pStyle w:val="BodyText"/>
                        <w:spacing w:before="1"/>
                        <w:ind w:left="103" w:right="169"/>
                      </w:pPr>
                    </w:p>
                    <w:p w:rsidR="00D16153" w:rsidRDefault="00D16153">
                      <w:pPr>
                        <w:pStyle w:val="BodyText"/>
                        <w:spacing w:before="1"/>
                        <w:ind w:left="103" w:right="169"/>
                      </w:pPr>
                    </w:p>
                  </w:txbxContent>
                </v:textbox>
                <w10:wrap type="topAndBottom" anchorx="page"/>
              </v:shape>
            </w:pict>
          </mc:Fallback>
        </mc:AlternateContent>
      </w:r>
      <w:r>
        <w:t>Plain English Summary:</w:t>
      </w:r>
    </w:p>
    <w:p w:rsidR="00F33C8E" w:rsidRDefault="00F33C8E">
      <w:pPr>
        <w:sectPr w:rsidR="00F33C8E">
          <w:footerReference w:type="default" r:id="rId10"/>
          <w:type w:val="continuous"/>
          <w:pgSz w:w="11920" w:h="16850"/>
          <w:pgMar w:top="100" w:right="0" w:bottom="1180" w:left="340" w:header="720" w:footer="991" w:gutter="0"/>
          <w:pgNumType w:start="1"/>
          <w:cols w:space="720"/>
        </w:sectPr>
      </w:pPr>
    </w:p>
    <w:p w:rsidR="00F33C8E" w:rsidRDefault="00F33C8E">
      <w:pPr>
        <w:pStyle w:val="BodyText"/>
        <w:spacing w:before="1"/>
        <w:rPr>
          <w:b/>
          <w:sz w:val="7"/>
        </w:rPr>
      </w:pPr>
    </w:p>
    <w:p w:rsidR="00675E46" w:rsidRDefault="005047CC">
      <w:pPr>
        <w:pStyle w:val="Heading1"/>
        <w:spacing w:before="92"/>
        <w:ind w:left="1140"/>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655320</wp:posOffset>
                </wp:positionH>
                <wp:positionV relativeFrom="paragraph">
                  <wp:posOffset>133350</wp:posOffset>
                </wp:positionV>
                <wp:extent cx="2915285" cy="866775"/>
                <wp:effectExtent l="7620" t="6985" r="1079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866775"/>
                        </a:xfrm>
                        <a:prstGeom prst="rect">
                          <a:avLst/>
                        </a:prstGeom>
                        <a:solidFill>
                          <a:srgbClr val="FFFFFF"/>
                        </a:solidFill>
                        <a:ln w="9525">
                          <a:solidFill>
                            <a:srgbClr val="000000"/>
                          </a:solidFill>
                          <a:miter lim="800000"/>
                          <a:headEnd/>
                          <a:tailEnd/>
                        </a:ln>
                      </wps:spPr>
                      <wps:txbx>
                        <w:txbxContent>
                          <w:p w:rsidR="00675E46" w:rsidRDefault="00675E46" w:rsidP="00675E46">
                            <w:pPr>
                              <w:spacing w:before="70" w:line="271" w:lineRule="auto"/>
                              <w:ind w:left="144" w:right="2523"/>
                              <w:rPr>
                                <w:rFonts w:ascii="Calibri"/>
                                <w:b/>
                              </w:rPr>
                            </w:pPr>
                            <w:r>
                              <w:rPr>
                                <w:rFonts w:ascii="Calibri"/>
                                <w:b/>
                              </w:rPr>
                              <w:t xml:space="preserve">Policy Category: </w:t>
                            </w:r>
                            <w:r>
                              <w:rPr>
                                <w:rFonts w:ascii="Calibri"/>
                                <w:b/>
                                <w:color w:val="FF0000"/>
                              </w:rPr>
                              <w:t>CBA</w:t>
                            </w:r>
                          </w:p>
                          <w:p w:rsidR="00675E46" w:rsidRDefault="00675E46" w:rsidP="00675E46">
                            <w:pPr>
                              <w:spacing w:before="1" w:line="278" w:lineRule="auto"/>
                              <w:ind w:left="144" w:right="992"/>
                              <w:rPr>
                                <w:rFonts w:ascii="Calibri"/>
                                <w:b/>
                              </w:rPr>
                            </w:pPr>
                            <w:r>
                              <w:rPr>
                                <w:rFonts w:ascii="Calibri"/>
                                <w:b/>
                              </w:rPr>
                              <w:t xml:space="preserve">Who usually applies for funding? </w:t>
                            </w:r>
                          </w:p>
                          <w:p w:rsidR="00675E46" w:rsidRDefault="00575BF6" w:rsidP="00675E46">
                            <w:pPr>
                              <w:spacing w:before="1" w:line="278" w:lineRule="auto"/>
                              <w:ind w:left="144" w:right="992"/>
                              <w:rPr>
                                <w:rFonts w:ascii="Calibri"/>
                                <w:b/>
                              </w:rPr>
                            </w:pPr>
                            <w:r>
                              <w:rPr>
                                <w:rFonts w:ascii="Calibri"/>
                                <w:b/>
                                <w:color w:val="FF0000"/>
                              </w:rPr>
                              <w:t>Not A</w:t>
                            </w:r>
                            <w:r w:rsidR="00675E46">
                              <w:rPr>
                                <w:rFonts w:ascii="Calibri"/>
                                <w:b/>
                                <w:color w:val="FF0000"/>
                              </w:rPr>
                              <w:t>pplicable</w:t>
                            </w:r>
                          </w:p>
                          <w:p w:rsidR="00675E46" w:rsidRDefault="00675E46" w:rsidP="00675E46">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51.6pt;margin-top:10.5pt;width:229.5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">
                <v:textbox>
                  <w:txbxContent>
                    <w:p w:rsidR="00675E46" w:rsidRDefault="00675E46" w:rsidP="00675E46">
                      <w:pPr>
                        <w:spacing w:before="70" w:line="271" w:lineRule="auto"/>
                        <w:ind w:left="144" w:right="2523"/>
                        <w:rPr>
                          <w:rFonts w:ascii="Calibri"/>
                          <w:b/>
                        </w:rPr>
                      </w:pPr>
                      <w:r>
                        <w:rPr>
                          <w:rFonts w:ascii="Calibri"/>
                          <w:b/>
                        </w:rPr>
                        <w:t xml:space="preserve">Policy Category: </w:t>
                      </w:r>
                      <w:r>
                        <w:rPr>
                          <w:rFonts w:ascii="Calibri"/>
                          <w:b/>
                          <w:color w:val="FF0000"/>
                        </w:rPr>
                        <w:t>CBA</w:t>
                      </w:r>
                    </w:p>
                    <w:p w:rsidR="00675E46" w:rsidRDefault="00675E46" w:rsidP="00675E46">
                      <w:pPr>
                        <w:spacing w:before="1" w:line="278" w:lineRule="auto"/>
                        <w:ind w:left="144" w:right="992"/>
                        <w:rPr>
                          <w:rFonts w:ascii="Calibri"/>
                          <w:b/>
                        </w:rPr>
                      </w:pPr>
                      <w:r>
                        <w:rPr>
                          <w:rFonts w:ascii="Calibri"/>
                          <w:b/>
                        </w:rPr>
                        <w:t xml:space="preserve">Who usually applies for funding? </w:t>
                      </w:r>
                    </w:p>
                    <w:p w:rsidR="00675E46" w:rsidRDefault="00575BF6" w:rsidP="00675E46">
                      <w:pPr>
                        <w:spacing w:before="1" w:line="278" w:lineRule="auto"/>
                        <w:ind w:left="144" w:right="992"/>
                        <w:rPr>
                          <w:rFonts w:ascii="Calibri"/>
                          <w:b/>
                        </w:rPr>
                      </w:pPr>
                      <w:r>
                        <w:rPr>
                          <w:rFonts w:ascii="Calibri"/>
                          <w:b/>
                          <w:color w:val="FF0000"/>
                        </w:rPr>
                        <w:t>Not A</w:t>
                      </w:r>
                      <w:r w:rsidR="00675E46">
                        <w:rPr>
                          <w:rFonts w:ascii="Calibri"/>
                          <w:b/>
                          <w:color w:val="FF0000"/>
                        </w:rPr>
                        <w:t>pplicable</w:t>
                      </w:r>
                    </w:p>
                    <w:p w:rsidR="00675E46" w:rsidRDefault="00675E46" w:rsidP="00675E46">
                      <w:pPr>
                        <w:jc w:val="both"/>
                      </w:pPr>
                    </w:p>
                  </w:txbxContent>
                </v:textbox>
              </v:shape>
            </w:pict>
          </mc:Fallback>
        </mc:AlternateContent>
      </w:r>
    </w:p>
    <w:p w:rsidR="00675E46" w:rsidRDefault="00675E46">
      <w:pPr>
        <w:pStyle w:val="Heading1"/>
        <w:spacing w:before="92"/>
        <w:ind w:left="1140"/>
      </w:pPr>
    </w:p>
    <w:p w:rsidR="00675E46" w:rsidRDefault="00675E46">
      <w:pPr>
        <w:pStyle w:val="Heading1"/>
        <w:spacing w:before="92"/>
        <w:ind w:left="1140"/>
      </w:pPr>
    </w:p>
    <w:p w:rsidR="00675E46" w:rsidRDefault="00675E46">
      <w:pPr>
        <w:pStyle w:val="Heading1"/>
        <w:spacing w:before="92"/>
        <w:ind w:left="1140"/>
      </w:pPr>
    </w:p>
    <w:p w:rsidR="00675E46" w:rsidRDefault="00675E46">
      <w:pPr>
        <w:pStyle w:val="Heading1"/>
        <w:spacing w:before="92"/>
        <w:ind w:left="1140"/>
      </w:pPr>
    </w:p>
    <w:p w:rsidR="00675E46" w:rsidRDefault="00675E46">
      <w:pPr>
        <w:pStyle w:val="Heading1"/>
        <w:spacing w:before="92"/>
        <w:ind w:left="1140"/>
      </w:pPr>
    </w:p>
    <w:p w:rsidR="00F33C8E" w:rsidRDefault="005047CC">
      <w:pPr>
        <w:pStyle w:val="Heading1"/>
        <w:spacing w:before="92"/>
        <w:ind w:left="1140"/>
      </w:pPr>
      <w:r>
        <w:rPr>
          <w:noProof/>
          <w:lang w:val="en-GB" w:eastAsia="en-GB"/>
        </w:rPr>
        <mc:AlternateContent>
          <mc:Choice Requires="wps">
            <w:drawing>
              <wp:anchor distT="0" distB="0" distL="0" distR="0" simplePos="0" relativeHeight="1216" behindDoc="0" locked="0" layoutInCell="1" allowOverlap="1">
                <wp:simplePos x="0" y="0"/>
                <wp:positionH relativeFrom="page">
                  <wp:posOffset>845820</wp:posOffset>
                </wp:positionH>
                <wp:positionV relativeFrom="paragraph">
                  <wp:posOffset>266065</wp:posOffset>
                </wp:positionV>
                <wp:extent cx="5869940" cy="1691005"/>
                <wp:effectExtent l="7620" t="8890" r="8890" b="50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691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33C8E" w:rsidRDefault="005047CC">
                            <w:pPr>
                              <w:pStyle w:val="BodyText"/>
                              <w:ind w:left="103" w:right="682"/>
                            </w:pPr>
                            <w:r>
                              <w:t>European guidelines for the management of chronic non-specific low back pain (2004). European Commission Research Directorate General (www.backpaineurope.org).</w:t>
                            </w:r>
                          </w:p>
                          <w:p w:rsidR="00F33C8E" w:rsidRDefault="00F33C8E">
                            <w:pPr>
                              <w:pStyle w:val="BodyText"/>
                              <w:spacing w:before="4"/>
                              <w:rPr>
                                <w:b/>
                                <w:sz w:val="24"/>
                              </w:rPr>
                            </w:pPr>
                          </w:p>
                          <w:p w:rsidR="00F33C8E" w:rsidRDefault="005047CC">
                            <w:pPr>
                              <w:pStyle w:val="BodyText"/>
                              <w:spacing w:before="1"/>
                              <w:ind w:left="103" w:right="108"/>
                            </w:pPr>
                            <w:r>
                              <w:t>National Institute for Health and Clinical Excellence (NICE) Low back pain: Clinical Guidance 88 May 2009.</w:t>
                            </w:r>
                          </w:p>
                          <w:p w:rsidR="00F33C8E" w:rsidRDefault="00F33C8E">
                            <w:pPr>
                              <w:pStyle w:val="BodyText"/>
                              <w:spacing w:before="1"/>
                              <w:rPr>
                                <w:b/>
                                <w:sz w:val="23"/>
                              </w:rPr>
                            </w:pPr>
                          </w:p>
                          <w:p w:rsidR="00F33C8E" w:rsidRDefault="005047CC">
                            <w:pPr>
                              <w:pStyle w:val="BodyText"/>
                              <w:ind w:left="103" w:right="157"/>
                            </w:pPr>
                            <w:proofErr w:type="gramStart"/>
                            <w:r>
                              <w:t>Clinical Knowledge Summary.</w:t>
                            </w:r>
                            <w:proofErr w:type="gramEnd"/>
                            <w:r>
                              <w:t xml:space="preserve"> Back Pain (low – without radiculopathy) </w:t>
                            </w:r>
                            <w:hyperlink r:id="rId11" w:anchor="-399381">
                              <w:r>
                                <w:rPr>
                                  <w:color w:val="0000FF"/>
                                  <w:u w:val="single" w:color="0000FF"/>
                                </w:rPr>
                                <w:t>http://www.cks.nhs.uk/back_pain_low_without_radiculopathy/management/scenario_chronic</w:t>
                              </w:r>
                            </w:hyperlink>
                          </w:p>
                          <w:p w:rsidR="00F33C8E" w:rsidRDefault="00575BF6">
                            <w:pPr>
                              <w:pStyle w:val="BodyText"/>
                              <w:spacing w:line="250" w:lineRule="exact"/>
                              <w:ind w:left="103"/>
                            </w:pPr>
                            <w:hyperlink r:id="rId12" w:anchor="-399381">
                              <w:r w:rsidR="005047CC">
                                <w:rPr>
                                  <w:color w:val="0000FF"/>
                                  <w:u w:val="single" w:color="0000FF"/>
                                </w:rPr>
                                <w:t>_low_back_pain_more_than_6_weeks#-399381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6.6pt;margin-top:20.95pt;width:462.2pt;height:133.1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" filled="f" strokeweight=".48pt">
                <v:textbox inset="0,0,0,0">
                  <w:txbxContent>
                    <w:p w:rsidR="00F33C8E" w:rsidRDefault="005047CC">
                      <w:pPr>
                        <w:pStyle w:val="BodyText"/>
                        <w:ind w:left="103" w:right="682"/>
                      </w:pPr>
                      <w:r>
                        <w:t>European guidelines for the management of chronic non-specific low back pain (2004). European Commission Research Directorate General (www.backpaineurope.org).</w:t>
                      </w:r>
                    </w:p>
                    <w:p w:rsidR="00F33C8E" w:rsidRDefault="00F33C8E">
                      <w:pPr>
                        <w:pStyle w:val="BodyText"/>
                        <w:spacing w:before="4"/>
                        <w:rPr>
                          <w:b/>
                          <w:sz w:val="24"/>
                        </w:rPr>
                      </w:pPr>
                    </w:p>
                    <w:p w:rsidR="00F33C8E" w:rsidRDefault="005047CC">
                      <w:pPr>
                        <w:pStyle w:val="BodyText"/>
                        <w:spacing w:before="1"/>
                        <w:ind w:left="103" w:right="108"/>
                      </w:pPr>
                      <w:r>
                        <w:t>National Institute for Health and Clinical Excellence (NICE) Low back pain: Clinical Guidance 88 May 2009.</w:t>
                      </w:r>
                    </w:p>
                    <w:p w:rsidR="00F33C8E" w:rsidRDefault="00F33C8E">
                      <w:pPr>
                        <w:pStyle w:val="BodyText"/>
                        <w:spacing w:before="1"/>
                        <w:rPr>
                          <w:b/>
                          <w:sz w:val="23"/>
                        </w:rPr>
                      </w:pPr>
                    </w:p>
                    <w:p w:rsidR="00F33C8E" w:rsidRDefault="005047CC">
                      <w:pPr>
                        <w:pStyle w:val="BodyText"/>
                        <w:ind w:left="103" w:right="157"/>
                      </w:pPr>
                      <w:proofErr w:type="gramStart"/>
                      <w:r>
                        <w:t>Clinical Knowledge Summary.</w:t>
                      </w:r>
                      <w:proofErr w:type="gramEnd"/>
                      <w:r>
                        <w:t xml:space="preserve"> Back Pain (low – without radiculopathy) </w:t>
                      </w:r>
                      <w:hyperlink r:id="rId13" w:anchor="-399381">
                        <w:r>
                          <w:rPr>
                            <w:color w:val="0000FF"/>
                            <w:u w:val="single" w:color="0000FF"/>
                          </w:rPr>
                          <w:t>http://www.cks.nhs.uk/back_pain_low_without_radiculopathy/management/scenario_chronic</w:t>
                        </w:r>
                      </w:hyperlink>
                    </w:p>
                    <w:p w:rsidR="00F33C8E" w:rsidRDefault="00575BF6">
                      <w:pPr>
                        <w:pStyle w:val="BodyText"/>
                        <w:spacing w:line="250" w:lineRule="exact"/>
                        <w:ind w:left="103"/>
                      </w:pPr>
                      <w:hyperlink r:id="rId14" w:anchor="-399381">
                        <w:r w:rsidR="005047CC">
                          <w:rPr>
                            <w:color w:val="0000FF"/>
                            <w:u w:val="single" w:color="0000FF"/>
                          </w:rPr>
                          <w:t>_low_back_pain_more_than_6_weeks#-399381</w:t>
                        </w:r>
                      </w:hyperlink>
                    </w:p>
                  </w:txbxContent>
                </v:textbox>
                <w10:wrap type="topAndBottom" anchorx="page"/>
              </v:shape>
            </w:pict>
          </mc:Fallback>
        </mc:AlternateContent>
      </w:r>
      <w:r>
        <w:t>Evidence base:</w:t>
      </w:r>
    </w:p>
    <w:p w:rsidR="00F33C8E" w:rsidRDefault="00F33C8E">
      <w:pPr>
        <w:pStyle w:val="BodyText"/>
        <w:rPr>
          <w:b/>
          <w:sz w:val="23"/>
        </w:rPr>
      </w:pPr>
    </w:p>
    <w:p w:rsidR="00F33C8E" w:rsidRDefault="005047CC">
      <w:pPr>
        <w:ind w:left="1140"/>
        <w:rPr>
          <w:sz w:val="24"/>
        </w:rPr>
      </w:pPr>
      <w:r>
        <w:rPr>
          <w:sz w:val="24"/>
        </w:rPr>
        <w:t>Link to application form – not applicable</w:t>
      </w:r>
    </w:p>
    <w:p w:rsidR="00F33C8E" w:rsidRDefault="005047CC">
      <w:pPr>
        <w:spacing w:before="38"/>
        <w:ind w:left="1140"/>
        <w:rPr>
          <w:sz w:val="24"/>
        </w:rPr>
      </w:pPr>
      <w:r>
        <w:rPr>
          <w:sz w:val="24"/>
        </w:rPr>
        <w:t xml:space="preserve">For further information please contact </w:t>
      </w:r>
      <w:hyperlink r:id="rId15">
        <w:r>
          <w:rPr>
            <w:color w:val="0000FF"/>
            <w:sz w:val="24"/>
            <w:u w:val="single" w:color="0000FF"/>
          </w:rPr>
          <w:t>GLCCG.IFR@nhs.net</w:t>
        </w:r>
      </w:hyperlink>
    </w:p>
    <w:p w:rsidR="00F33C8E" w:rsidRDefault="00F33C8E">
      <w:pPr>
        <w:pStyle w:val="BodyText"/>
        <w:rPr>
          <w:sz w:val="20"/>
        </w:rPr>
      </w:pPr>
    </w:p>
    <w:p w:rsidR="00F33C8E" w:rsidRDefault="00F33C8E">
      <w:pPr>
        <w:pStyle w:val="BodyText"/>
        <w:spacing w:before="7"/>
        <w:rPr>
          <w:sz w:val="11"/>
        </w:rPr>
      </w:pPr>
    </w:p>
    <w:tbl>
      <w:tblPr>
        <w:tblW w:w="0" w:type="auto"/>
        <w:tblInd w:w="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726"/>
      </w:tblGrid>
      <w:tr w:rsidR="00F33C8E">
        <w:trPr>
          <w:trHeight w:hRule="exact" w:val="264"/>
        </w:trPr>
        <w:tc>
          <w:tcPr>
            <w:tcW w:w="2518" w:type="dxa"/>
          </w:tcPr>
          <w:p w:rsidR="00F33C8E" w:rsidRDefault="005047CC">
            <w:pPr>
              <w:pStyle w:val="TableParagraph"/>
              <w:rPr>
                <w:b/>
              </w:rPr>
            </w:pPr>
            <w:r>
              <w:rPr>
                <w:b/>
              </w:rPr>
              <w:t>Date of publication</w:t>
            </w:r>
          </w:p>
        </w:tc>
        <w:tc>
          <w:tcPr>
            <w:tcW w:w="6726" w:type="dxa"/>
          </w:tcPr>
          <w:p w:rsidR="00F33C8E" w:rsidRDefault="005047CC">
            <w:pPr>
              <w:pStyle w:val="TableParagraph"/>
              <w:spacing w:line="248" w:lineRule="exact"/>
            </w:pPr>
            <w:r>
              <w:t>12</w:t>
            </w:r>
            <w:proofErr w:type="spellStart"/>
            <w:r>
              <w:rPr>
                <w:position w:val="10"/>
                <w:sz w:val="14"/>
              </w:rPr>
              <w:t>th</w:t>
            </w:r>
            <w:proofErr w:type="spellEnd"/>
            <w:r>
              <w:rPr>
                <w:position w:val="10"/>
                <w:sz w:val="14"/>
              </w:rPr>
              <w:t xml:space="preserve">  </w:t>
            </w:r>
            <w:r>
              <w:t>October 2015</w:t>
            </w:r>
          </w:p>
        </w:tc>
      </w:tr>
      <w:tr w:rsidR="00F33C8E">
        <w:trPr>
          <w:trHeight w:hRule="exact" w:val="264"/>
        </w:trPr>
        <w:tc>
          <w:tcPr>
            <w:tcW w:w="2518" w:type="dxa"/>
          </w:tcPr>
          <w:p w:rsidR="00F33C8E" w:rsidRDefault="005047CC">
            <w:pPr>
              <w:pStyle w:val="TableParagraph"/>
              <w:rPr>
                <w:b/>
              </w:rPr>
            </w:pPr>
            <w:r>
              <w:rPr>
                <w:b/>
              </w:rPr>
              <w:t>Policy review date</w:t>
            </w:r>
          </w:p>
        </w:tc>
        <w:tc>
          <w:tcPr>
            <w:tcW w:w="6726" w:type="dxa"/>
          </w:tcPr>
          <w:p w:rsidR="00F33C8E" w:rsidRDefault="00575BF6" w:rsidP="00654F90">
            <w:pPr>
              <w:pStyle w:val="TableParagraph"/>
            </w:pPr>
            <w:r>
              <w:t>May 2021</w:t>
            </w:r>
          </w:p>
        </w:tc>
      </w:tr>
    </w:tbl>
    <w:p w:rsidR="00F33C8E" w:rsidRDefault="00F33C8E">
      <w:pPr>
        <w:pStyle w:val="BodyText"/>
        <w:spacing w:before="11"/>
        <w:rPr>
          <w:sz w:val="26"/>
        </w:rPr>
      </w:pPr>
    </w:p>
    <w:p w:rsidR="00F33C8E" w:rsidRDefault="005047CC">
      <w:pPr>
        <w:spacing w:after="45"/>
        <w:ind w:left="1140"/>
        <w:rPr>
          <w:b/>
          <w:sz w:val="24"/>
        </w:rPr>
      </w:pPr>
      <w:r>
        <w:rPr>
          <w:b/>
          <w:sz w:val="24"/>
        </w:rPr>
        <w:t>Consultation</w:t>
      </w:r>
    </w:p>
    <w:tbl>
      <w:tblPr>
        <w:tblW w:w="0" w:type="auto"/>
        <w:tblInd w:w="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F33C8E">
        <w:trPr>
          <w:trHeight w:hRule="exact" w:val="264"/>
        </w:trPr>
        <w:tc>
          <w:tcPr>
            <w:tcW w:w="5922" w:type="dxa"/>
          </w:tcPr>
          <w:p w:rsidR="00F33C8E" w:rsidRDefault="005047CC">
            <w:pPr>
              <w:pStyle w:val="TableParagraph"/>
              <w:spacing w:line="248" w:lineRule="exact"/>
              <w:rPr>
                <w:b/>
              </w:rPr>
            </w:pPr>
            <w:r>
              <w:rPr>
                <w:b/>
              </w:rPr>
              <w:t>Consultee</w:t>
            </w:r>
          </w:p>
        </w:tc>
        <w:tc>
          <w:tcPr>
            <w:tcW w:w="3322" w:type="dxa"/>
          </w:tcPr>
          <w:p w:rsidR="00F33C8E" w:rsidRDefault="005047CC">
            <w:pPr>
              <w:pStyle w:val="TableParagraph"/>
              <w:spacing w:line="248" w:lineRule="exact"/>
              <w:rPr>
                <w:b/>
              </w:rPr>
            </w:pPr>
            <w:r>
              <w:rPr>
                <w:b/>
              </w:rPr>
              <w:t>Date</w:t>
            </w:r>
          </w:p>
        </w:tc>
      </w:tr>
      <w:tr w:rsidR="00F33C8E">
        <w:trPr>
          <w:trHeight w:hRule="exact" w:val="264"/>
        </w:trPr>
        <w:tc>
          <w:tcPr>
            <w:tcW w:w="5922" w:type="dxa"/>
          </w:tcPr>
          <w:p w:rsidR="00F33C8E" w:rsidRDefault="005047CC">
            <w:pPr>
              <w:pStyle w:val="TableParagraph"/>
              <w:spacing w:line="248" w:lineRule="exact"/>
            </w:pPr>
            <w:r>
              <w:t xml:space="preserve">MSK Clinical </w:t>
            </w:r>
            <w:proofErr w:type="spellStart"/>
            <w:r>
              <w:t>Programme</w:t>
            </w:r>
            <w:proofErr w:type="spellEnd"/>
            <w:r>
              <w:t xml:space="preserve"> Group</w:t>
            </w:r>
          </w:p>
        </w:tc>
        <w:tc>
          <w:tcPr>
            <w:tcW w:w="3322" w:type="dxa"/>
          </w:tcPr>
          <w:p w:rsidR="00F33C8E" w:rsidRDefault="005047CC">
            <w:pPr>
              <w:pStyle w:val="TableParagraph"/>
              <w:spacing w:line="248" w:lineRule="exact"/>
            </w:pPr>
            <w:r>
              <w:t>7</w:t>
            </w:r>
            <w:proofErr w:type="spellStart"/>
            <w:r>
              <w:rPr>
                <w:position w:val="10"/>
                <w:sz w:val="14"/>
              </w:rPr>
              <w:t>th</w:t>
            </w:r>
            <w:proofErr w:type="spellEnd"/>
            <w:r>
              <w:rPr>
                <w:position w:val="10"/>
                <w:sz w:val="14"/>
              </w:rPr>
              <w:t xml:space="preserve">  </w:t>
            </w:r>
            <w:r>
              <w:t>July 2015</w:t>
            </w:r>
          </w:p>
        </w:tc>
      </w:tr>
      <w:tr w:rsidR="00F33C8E">
        <w:trPr>
          <w:trHeight w:hRule="exact" w:val="264"/>
        </w:trPr>
        <w:tc>
          <w:tcPr>
            <w:tcW w:w="5922" w:type="dxa"/>
          </w:tcPr>
          <w:p w:rsidR="00F33C8E" w:rsidRDefault="005047CC">
            <w:pPr>
              <w:pStyle w:val="TableParagraph"/>
              <w:spacing w:line="251" w:lineRule="exact"/>
            </w:pPr>
            <w:r>
              <w:t>GHNHSFT (via CPG)</w:t>
            </w:r>
          </w:p>
        </w:tc>
        <w:tc>
          <w:tcPr>
            <w:tcW w:w="3322" w:type="dxa"/>
          </w:tcPr>
          <w:p w:rsidR="00F33C8E" w:rsidRDefault="005047CC">
            <w:pPr>
              <w:pStyle w:val="TableParagraph"/>
              <w:spacing w:line="248" w:lineRule="exact"/>
            </w:pPr>
            <w:r>
              <w:t>7</w:t>
            </w:r>
            <w:proofErr w:type="spellStart"/>
            <w:r>
              <w:rPr>
                <w:position w:val="10"/>
                <w:sz w:val="14"/>
              </w:rPr>
              <w:t>th</w:t>
            </w:r>
            <w:proofErr w:type="spellEnd"/>
            <w:r>
              <w:rPr>
                <w:position w:val="10"/>
                <w:sz w:val="14"/>
              </w:rPr>
              <w:t xml:space="preserve">  </w:t>
            </w:r>
            <w:r>
              <w:t>July 2015</w:t>
            </w:r>
          </w:p>
        </w:tc>
      </w:tr>
      <w:tr w:rsidR="00F33C8E">
        <w:trPr>
          <w:trHeight w:hRule="exact" w:val="264"/>
        </w:trPr>
        <w:tc>
          <w:tcPr>
            <w:tcW w:w="5922" w:type="dxa"/>
          </w:tcPr>
          <w:p w:rsidR="00F33C8E" w:rsidRDefault="005047CC">
            <w:pPr>
              <w:pStyle w:val="TableParagraph"/>
            </w:pPr>
            <w:r>
              <w:t>GP Membership (via CCG Live/What’s New This Week)</w:t>
            </w:r>
          </w:p>
        </w:tc>
        <w:tc>
          <w:tcPr>
            <w:tcW w:w="3322" w:type="dxa"/>
          </w:tcPr>
          <w:p w:rsidR="00F33C8E" w:rsidRDefault="005047CC">
            <w:pPr>
              <w:pStyle w:val="TableParagraph"/>
            </w:pPr>
            <w:r>
              <w:t>10</w:t>
            </w:r>
            <w:proofErr w:type="spellStart"/>
            <w:r>
              <w:rPr>
                <w:position w:val="10"/>
                <w:sz w:val="14"/>
              </w:rPr>
              <w:t>th</w:t>
            </w:r>
            <w:proofErr w:type="spellEnd"/>
            <w:r>
              <w:rPr>
                <w:position w:val="10"/>
                <w:sz w:val="14"/>
              </w:rPr>
              <w:t xml:space="preserve">  </w:t>
            </w:r>
            <w:r>
              <w:t>July – 7</w:t>
            </w:r>
            <w:proofErr w:type="spellStart"/>
            <w:r>
              <w:rPr>
                <w:position w:val="10"/>
                <w:sz w:val="14"/>
              </w:rPr>
              <w:t>th</w:t>
            </w:r>
            <w:proofErr w:type="spellEnd"/>
            <w:r>
              <w:rPr>
                <w:position w:val="10"/>
                <w:sz w:val="14"/>
              </w:rPr>
              <w:t xml:space="preserve">  </w:t>
            </w:r>
            <w:r>
              <w:t>August 2015</w:t>
            </w:r>
          </w:p>
        </w:tc>
      </w:tr>
      <w:tr w:rsidR="00F33C8E">
        <w:trPr>
          <w:trHeight w:hRule="exact" w:val="262"/>
        </w:trPr>
        <w:tc>
          <w:tcPr>
            <w:tcW w:w="5922" w:type="dxa"/>
            <w:shd w:val="clear" w:color="auto" w:fill="C4BA94"/>
          </w:tcPr>
          <w:p w:rsidR="00F33C8E" w:rsidRDefault="00F33C8E"/>
        </w:tc>
        <w:tc>
          <w:tcPr>
            <w:tcW w:w="3322" w:type="dxa"/>
            <w:shd w:val="clear" w:color="auto" w:fill="C4BA94"/>
          </w:tcPr>
          <w:p w:rsidR="00F33C8E" w:rsidRDefault="00F33C8E"/>
        </w:tc>
      </w:tr>
      <w:tr w:rsidR="00F33C8E">
        <w:trPr>
          <w:trHeight w:hRule="exact" w:val="516"/>
        </w:trPr>
        <w:tc>
          <w:tcPr>
            <w:tcW w:w="5922" w:type="dxa"/>
          </w:tcPr>
          <w:p w:rsidR="00F33C8E" w:rsidRDefault="005047CC">
            <w:pPr>
              <w:pStyle w:val="TableParagraph"/>
            </w:pPr>
            <w:r>
              <w:t>Has the consultation included patient representatives?</w:t>
            </w:r>
          </w:p>
        </w:tc>
        <w:tc>
          <w:tcPr>
            <w:tcW w:w="3322" w:type="dxa"/>
          </w:tcPr>
          <w:p w:rsidR="00F33C8E" w:rsidRDefault="005047CC">
            <w:pPr>
              <w:pStyle w:val="TableParagraph"/>
              <w:spacing w:line="242" w:lineRule="auto"/>
              <w:ind w:right="756"/>
            </w:pPr>
            <w:r>
              <w:t>Yes (via CPG and ECCP membership)</w:t>
            </w:r>
          </w:p>
        </w:tc>
      </w:tr>
    </w:tbl>
    <w:p w:rsidR="00F33C8E" w:rsidRDefault="00F33C8E">
      <w:pPr>
        <w:pStyle w:val="BodyText"/>
        <w:spacing w:before="11"/>
        <w:rPr>
          <w:b/>
          <w:sz w:val="26"/>
        </w:rPr>
      </w:pPr>
    </w:p>
    <w:p w:rsidR="00F33C8E" w:rsidRDefault="005047CC">
      <w:pPr>
        <w:spacing w:after="50"/>
        <w:ind w:left="1121" w:firstLine="19"/>
        <w:rPr>
          <w:b/>
          <w:sz w:val="24"/>
        </w:rPr>
      </w:pPr>
      <w:r>
        <w:rPr>
          <w:b/>
          <w:sz w:val="24"/>
        </w:rPr>
        <w:t>Policy sign off</w:t>
      </w:r>
    </w:p>
    <w:tbl>
      <w:tblPr>
        <w:tblW w:w="0" w:type="auto"/>
        <w:tblInd w:w="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F33C8E">
        <w:trPr>
          <w:trHeight w:hRule="exact" w:val="262"/>
        </w:trPr>
        <w:tc>
          <w:tcPr>
            <w:tcW w:w="5922" w:type="dxa"/>
          </w:tcPr>
          <w:p w:rsidR="00F33C8E" w:rsidRDefault="005047CC">
            <w:pPr>
              <w:pStyle w:val="TableParagraph"/>
              <w:rPr>
                <w:b/>
              </w:rPr>
            </w:pPr>
            <w:r>
              <w:rPr>
                <w:b/>
              </w:rPr>
              <w:t>Reviewing Body</w:t>
            </w:r>
          </w:p>
        </w:tc>
        <w:tc>
          <w:tcPr>
            <w:tcW w:w="3322" w:type="dxa"/>
          </w:tcPr>
          <w:p w:rsidR="00F33C8E" w:rsidRDefault="005047CC">
            <w:pPr>
              <w:pStyle w:val="TableParagraph"/>
              <w:rPr>
                <w:b/>
              </w:rPr>
            </w:pPr>
            <w:r>
              <w:rPr>
                <w:b/>
              </w:rPr>
              <w:t>Date of review</w:t>
            </w:r>
          </w:p>
        </w:tc>
      </w:tr>
      <w:tr w:rsidR="00F33C8E">
        <w:trPr>
          <w:trHeight w:hRule="exact" w:val="264"/>
        </w:trPr>
        <w:tc>
          <w:tcPr>
            <w:tcW w:w="5922" w:type="dxa"/>
          </w:tcPr>
          <w:p w:rsidR="00F33C8E" w:rsidRDefault="005047CC">
            <w:pPr>
              <w:pStyle w:val="TableParagraph"/>
            </w:pPr>
            <w:r>
              <w:t>Effective Clinical Commissioning Policy Group</w:t>
            </w:r>
          </w:p>
        </w:tc>
        <w:tc>
          <w:tcPr>
            <w:tcW w:w="3322" w:type="dxa"/>
          </w:tcPr>
          <w:p w:rsidR="00F33C8E" w:rsidRDefault="005047CC">
            <w:pPr>
              <w:pStyle w:val="TableParagraph"/>
            </w:pPr>
            <w:r>
              <w:t>3</w:t>
            </w:r>
            <w:proofErr w:type="spellStart"/>
            <w:r>
              <w:rPr>
                <w:position w:val="10"/>
                <w:sz w:val="14"/>
              </w:rPr>
              <w:t>rd</w:t>
            </w:r>
            <w:proofErr w:type="spellEnd"/>
            <w:r>
              <w:rPr>
                <w:position w:val="10"/>
                <w:sz w:val="14"/>
              </w:rPr>
              <w:t xml:space="preserve">  </w:t>
            </w:r>
            <w:r>
              <w:t>August 2015</w:t>
            </w:r>
          </w:p>
        </w:tc>
      </w:tr>
      <w:tr w:rsidR="00F33C8E">
        <w:trPr>
          <w:trHeight w:hRule="exact" w:val="264"/>
        </w:trPr>
        <w:tc>
          <w:tcPr>
            <w:tcW w:w="5922" w:type="dxa"/>
          </w:tcPr>
          <w:p w:rsidR="00F33C8E" w:rsidRDefault="005047CC">
            <w:pPr>
              <w:pStyle w:val="TableParagraph"/>
            </w:pPr>
            <w:r>
              <w:t>Integrated Governance and Quality Committee</w:t>
            </w:r>
          </w:p>
        </w:tc>
        <w:tc>
          <w:tcPr>
            <w:tcW w:w="3322" w:type="dxa"/>
          </w:tcPr>
          <w:p w:rsidR="00F33C8E" w:rsidRDefault="005047CC">
            <w:pPr>
              <w:pStyle w:val="TableParagraph"/>
            </w:pPr>
            <w:r>
              <w:t>20</w:t>
            </w:r>
            <w:proofErr w:type="spellStart"/>
            <w:r>
              <w:rPr>
                <w:position w:val="10"/>
                <w:sz w:val="14"/>
              </w:rPr>
              <w:t>th</w:t>
            </w:r>
            <w:proofErr w:type="spellEnd"/>
            <w:r>
              <w:rPr>
                <w:position w:val="10"/>
                <w:sz w:val="14"/>
              </w:rPr>
              <w:t xml:space="preserve">  </w:t>
            </w:r>
            <w:r>
              <w:t>August 2015</w:t>
            </w:r>
          </w:p>
        </w:tc>
      </w:tr>
    </w:tbl>
    <w:p w:rsidR="00F33C8E" w:rsidRDefault="00F33C8E">
      <w:pPr>
        <w:pStyle w:val="BodyText"/>
        <w:spacing w:before="6"/>
        <w:rPr>
          <w:b/>
          <w:sz w:val="21"/>
        </w:rPr>
      </w:pPr>
    </w:p>
    <w:p w:rsidR="00F33C8E" w:rsidRDefault="005047CC">
      <w:pPr>
        <w:pStyle w:val="Heading2"/>
        <w:spacing w:after="6"/>
        <w:ind w:left="1121"/>
        <w:rPr>
          <w:rFonts w:ascii="Arial"/>
        </w:rPr>
      </w:pPr>
      <w:r>
        <w:rPr>
          <w:rFonts w:ascii="Arial"/>
        </w:rPr>
        <w:t>Version Control</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2269"/>
        <w:gridCol w:w="852"/>
        <w:gridCol w:w="4679"/>
      </w:tblGrid>
      <w:tr w:rsidR="00F33C8E">
        <w:trPr>
          <w:trHeight w:hRule="exact" w:val="300"/>
        </w:trPr>
        <w:tc>
          <w:tcPr>
            <w:tcW w:w="1416" w:type="dxa"/>
          </w:tcPr>
          <w:p w:rsidR="00F33C8E" w:rsidRDefault="005047CC">
            <w:pPr>
              <w:pStyle w:val="TableParagraph"/>
              <w:spacing w:line="248" w:lineRule="exact"/>
              <w:rPr>
                <w:b/>
              </w:rPr>
            </w:pPr>
            <w:r>
              <w:rPr>
                <w:b/>
              </w:rPr>
              <w:t>Version No</w:t>
            </w:r>
          </w:p>
        </w:tc>
        <w:tc>
          <w:tcPr>
            <w:tcW w:w="2269" w:type="dxa"/>
          </w:tcPr>
          <w:p w:rsidR="00F33C8E" w:rsidRDefault="005047CC">
            <w:pPr>
              <w:pStyle w:val="TableParagraph"/>
              <w:spacing w:line="248" w:lineRule="exact"/>
              <w:rPr>
                <w:b/>
              </w:rPr>
            </w:pPr>
            <w:r>
              <w:rPr>
                <w:b/>
              </w:rPr>
              <w:t>Type of Change</w:t>
            </w:r>
          </w:p>
        </w:tc>
        <w:tc>
          <w:tcPr>
            <w:tcW w:w="852" w:type="dxa"/>
          </w:tcPr>
          <w:p w:rsidR="00F33C8E" w:rsidRDefault="005047CC">
            <w:pPr>
              <w:pStyle w:val="TableParagraph"/>
              <w:spacing w:line="248" w:lineRule="exact"/>
              <w:rPr>
                <w:b/>
              </w:rPr>
            </w:pPr>
            <w:r>
              <w:rPr>
                <w:b/>
              </w:rPr>
              <w:t>Date</w:t>
            </w:r>
          </w:p>
        </w:tc>
        <w:tc>
          <w:tcPr>
            <w:tcW w:w="4679" w:type="dxa"/>
          </w:tcPr>
          <w:p w:rsidR="00F33C8E" w:rsidRDefault="005047CC">
            <w:pPr>
              <w:pStyle w:val="TableParagraph"/>
              <w:spacing w:line="248" w:lineRule="exact"/>
              <w:rPr>
                <w:b/>
              </w:rPr>
            </w:pPr>
            <w:r>
              <w:rPr>
                <w:b/>
              </w:rPr>
              <w:t>Description of Change</w:t>
            </w:r>
          </w:p>
        </w:tc>
      </w:tr>
      <w:tr w:rsidR="00F33C8E" w:rsidTr="00654F90">
        <w:trPr>
          <w:trHeight w:hRule="exact" w:val="497"/>
        </w:trPr>
        <w:tc>
          <w:tcPr>
            <w:tcW w:w="1416" w:type="dxa"/>
          </w:tcPr>
          <w:p w:rsidR="00F33C8E" w:rsidRDefault="005047CC">
            <w:r>
              <w:t xml:space="preserve">  2</w:t>
            </w:r>
          </w:p>
        </w:tc>
        <w:tc>
          <w:tcPr>
            <w:tcW w:w="2269" w:type="dxa"/>
          </w:tcPr>
          <w:p w:rsidR="00F33C8E" w:rsidRDefault="005047CC">
            <w:r>
              <w:t xml:space="preserve"> Date change</w:t>
            </w:r>
          </w:p>
        </w:tc>
        <w:tc>
          <w:tcPr>
            <w:tcW w:w="852" w:type="dxa"/>
          </w:tcPr>
          <w:p w:rsidR="00F33C8E" w:rsidRDefault="005047CC">
            <w:r>
              <w:t xml:space="preserve"> 3.5.18</w:t>
            </w:r>
          </w:p>
        </w:tc>
        <w:tc>
          <w:tcPr>
            <w:tcW w:w="4679" w:type="dxa"/>
          </w:tcPr>
          <w:p w:rsidR="00F33C8E" w:rsidRDefault="005047CC" w:rsidP="00575BF6">
            <w:r>
              <w:t xml:space="preserve"> Policy review date changed to </w:t>
            </w:r>
            <w:r w:rsidR="00654F90">
              <w:t xml:space="preserve">from </w:t>
            </w:r>
            <w:r>
              <w:t xml:space="preserve">October </w:t>
            </w:r>
            <w:r w:rsidR="00654F90">
              <w:t xml:space="preserve"> 2017 to </w:t>
            </w:r>
            <w:r w:rsidR="00575BF6">
              <w:t>May 2021</w:t>
            </w:r>
          </w:p>
        </w:tc>
      </w:tr>
      <w:tr w:rsidR="00F33C8E">
        <w:trPr>
          <w:trHeight w:hRule="exact" w:val="326"/>
        </w:trPr>
        <w:tc>
          <w:tcPr>
            <w:tcW w:w="1416" w:type="dxa"/>
          </w:tcPr>
          <w:p w:rsidR="00F33C8E" w:rsidRDefault="00F33C8E"/>
        </w:tc>
        <w:tc>
          <w:tcPr>
            <w:tcW w:w="2269" w:type="dxa"/>
          </w:tcPr>
          <w:p w:rsidR="00F33C8E" w:rsidRDefault="00F33C8E"/>
        </w:tc>
        <w:tc>
          <w:tcPr>
            <w:tcW w:w="852" w:type="dxa"/>
          </w:tcPr>
          <w:p w:rsidR="00F33C8E" w:rsidRDefault="00F33C8E"/>
        </w:tc>
        <w:tc>
          <w:tcPr>
            <w:tcW w:w="4679" w:type="dxa"/>
          </w:tcPr>
          <w:p w:rsidR="00F33C8E" w:rsidRDefault="00F33C8E"/>
        </w:tc>
      </w:tr>
      <w:tr w:rsidR="00F33C8E">
        <w:trPr>
          <w:trHeight w:hRule="exact" w:val="329"/>
        </w:trPr>
        <w:tc>
          <w:tcPr>
            <w:tcW w:w="1416" w:type="dxa"/>
          </w:tcPr>
          <w:p w:rsidR="00F33C8E" w:rsidRDefault="00F33C8E"/>
        </w:tc>
        <w:tc>
          <w:tcPr>
            <w:tcW w:w="2269" w:type="dxa"/>
          </w:tcPr>
          <w:p w:rsidR="00F33C8E" w:rsidRDefault="00F33C8E"/>
        </w:tc>
        <w:tc>
          <w:tcPr>
            <w:tcW w:w="852" w:type="dxa"/>
          </w:tcPr>
          <w:p w:rsidR="00F33C8E" w:rsidRDefault="00F33C8E"/>
        </w:tc>
        <w:tc>
          <w:tcPr>
            <w:tcW w:w="4679" w:type="dxa"/>
          </w:tcPr>
          <w:p w:rsidR="00F33C8E" w:rsidRDefault="00F33C8E"/>
        </w:tc>
      </w:tr>
    </w:tbl>
    <w:p w:rsidR="001579F3" w:rsidRDefault="001579F3"/>
    <w:sectPr w:rsidR="001579F3">
      <w:pgSz w:w="11920" w:h="16850"/>
      <w:pgMar w:top="260" w:right="1080" w:bottom="1180" w:left="300" w:header="0" w:footer="9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F3" w:rsidRDefault="005047CC">
      <w:r>
        <w:separator/>
      </w:r>
    </w:p>
  </w:endnote>
  <w:endnote w:type="continuationSeparator" w:id="0">
    <w:p w:rsidR="001579F3" w:rsidRDefault="0050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8E" w:rsidRDefault="005047CC">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3220085</wp:posOffset>
              </wp:positionH>
              <wp:positionV relativeFrom="page">
                <wp:posOffset>9925050</wp:posOffset>
              </wp:positionV>
              <wp:extent cx="3785235" cy="22098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C8E" w:rsidRDefault="005047CC">
                          <w:pPr>
                            <w:pStyle w:val="BodyText"/>
                            <w:spacing w:line="245" w:lineRule="exact"/>
                            <w:ind w:left="40"/>
                            <w:rPr>
                              <w:rFonts w:ascii="Calibri"/>
                            </w:rPr>
                          </w:pPr>
                          <w:r>
                            <w:fldChar w:fldCharType="begin"/>
                          </w:r>
                          <w:r>
                            <w:rPr>
                              <w:rFonts w:ascii="Calibri"/>
                            </w:rPr>
                            <w:instrText xml:space="preserve"> PAGE </w:instrText>
                          </w:r>
                          <w:r>
                            <w:fldChar w:fldCharType="separate"/>
                          </w:r>
                          <w:r w:rsidR="00575BF6">
                            <w:rPr>
                              <w:rFonts w:ascii="Calibri"/>
                              <w:noProof/>
                            </w:rPr>
                            <w:t>2</w:t>
                          </w:r>
                          <w:r>
                            <w:fldChar w:fldCharType="end"/>
                          </w:r>
                          <w:r>
                            <w:t xml:space="preserve">                                                                                        </w:t>
                          </w:r>
                          <w:r w:rsidRPr="005047CC">
                            <w:rPr>
                              <w:sz w:val="18"/>
                              <w:szCs w:val="18"/>
                            </w:rPr>
                            <w:t xml:space="preserve">v2 </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53.55pt;margin-top:781.5pt;width:298.05pt;height:1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Irg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" filled="f" stroked="f">
              <v:textbox inset="0,0,0,0">
                <w:txbxContent>
                  <w:p w:rsidR="00F33C8E" w:rsidRDefault="005047CC">
                    <w:pPr>
                      <w:pStyle w:val="BodyText"/>
                      <w:spacing w:line="245" w:lineRule="exact"/>
                      <w:ind w:left="40"/>
                      <w:rPr>
                        <w:rFonts w:ascii="Calibri"/>
                      </w:rPr>
                    </w:pPr>
                    <w:r>
                      <w:fldChar w:fldCharType="begin"/>
                    </w:r>
                    <w:r>
                      <w:rPr>
                        <w:rFonts w:ascii="Calibri"/>
                      </w:rPr>
                      <w:instrText xml:space="preserve"> PAGE </w:instrText>
                    </w:r>
                    <w:r>
                      <w:fldChar w:fldCharType="separate"/>
                    </w:r>
                    <w:r w:rsidR="00575BF6">
                      <w:rPr>
                        <w:rFonts w:ascii="Calibri"/>
                        <w:noProof/>
                      </w:rPr>
                      <w:t>2</w:t>
                    </w:r>
                    <w:r>
                      <w:fldChar w:fldCharType="end"/>
                    </w:r>
                    <w:r>
                      <w:t xml:space="preserve">                                                                                        </w:t>
                    </w:r>
                    <w:r w:rsidRPr="005047CC">
                      <w:rPr>
                        <w:sz w:val="18"/>
                        <w:szCs w:val="18"/>
                      </w:rPr>
                      <w:t xml:space="preserve">v2 </w:t>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F3" w:rsidRDefault="005047CC">
      <w:r>
        <w:separator/>
      </w:r>
    </w:p>
  </w:footnote>
  <w:footnote w:type="continuationSeparator" w:id="0">
    <w:p w:rsidR="001579F3" w:rsidRDefault="00504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0EAF"/>
    <w:multiLevelType w:val="hybridMultilevel"/>
    <w:tmpl w:val="2772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76177"/>
    <w:multiLevelType w:val="hybridMultilevel"/>
    <w:tmpl w:val="AB5E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433B7C"/>
    <w:multiLevelType w:val="hybridMultilevel"/>
    <w:tmpl w:val="7C14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F20386"/>
    <w:multiLevelType w:val="hybridMultilevel"/>
    <w:tmpl w:val="C4FC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9B4169"/>
    <w:multiLevelType w:val="hybridMultilevel"/>
    <w:tmpl w:val="0FDE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8E"/>
    <w:rsid w:val="001579F3"/>
    <w:rsid w:val="005047CC"/>
    <w:rsid w:val="00575BF6"/>
    <w:rsid w:val="00654F90"/>
    <w:rsid w:val="00675E46"/>
    <w:rsid w:val="00AF5C4E"/>
    <w:rsid w:val="00D16153"/>
    <w:rsid w:val="00F33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0"/>
      <w:outlineLvl w:val="0"/>
    </w:pPr>
    <w:rPr>
      <w:b/>
      <w:bCs/>
      <w:sz w:val="24"/>
      <w:szCs w:val="24"/>
    </w:rPr>
  </w:style>
  <w:style w:type="paragraph" w:styleId="Heading2">
    <w:name w:val="heading 2"/>
    <w:basedOn w:val="Normal"/>
    <w:uiPriority w:val="1"/>
    <w:qFormat/>
    <w:pPr>
      <w:ind w:left="144"/>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6" w:lineRule="exact"/>
      <w:ind w:left="103"/>
    </w:pPr>
  </w:style>
  <w:style w:type="paragraph" w:styleId="BalloonText">
    <w:name w:val="Balloon Text"/>
    <w:basedOn w:val="Normal"/>
    <w:link w:val="BalloonTextChar"/>
    <w:uiPriority w:val="99"/>
    <w:semiHidden/>
    <w:unhideWhenUsed/>
    <w:rsid w:val="00D16153"/>
    <w:rPr>
      <w:rFonts w:ascii="Tahoma" w:hAnsi="Tahoma" w:cs="Tahoma"/>
      <w:sz w:val="16"/>
      <w:szCs w:val="16"/>
    </w:rPr>
  </w:style>
  <w:style w:type="character" w:customStyle="1" w:styleId="BalloonTextChar">
    <w:name w:val="Balloon Text Char"/>
    <w:basedOn w:val="DefaultParagraphFont"/>
    <w:link w:val="BalloonText"/>
    <w:uiPriority w:val="99"/>
    <w:semiHidden/>
    <w:rsid w:val="00D16153"/>
    <w:rPr>
      <w:rFonts w:ascii="Tahoma" w:eastAsia="Arial" w:hAnsi="Tahoma" w:cs="Tahoma"/>
      <w:sz w:val="16"/>
      <w:szCs w:val="16"/>
    </w:rPr>
  </w:style>
  <w:style w:type="paragraph" w:styleId="Header">
    <w:name w:val="header"/>
    <w:basedOn w:val="Normal"/>
    <w:link w:val="HeaderChar"/>
    <w:uiPriority w:val="99"/>
    <w:unhideWhenUsed/>
    <w:rsid w:val="005047CC"/>
    <w:pPr>
      <w:tabs>
        <w:tab w:val="center" w:pos="4513"/>
        <w:tab w:val="right" w:pos="9026"/>
      </w:tabs>
    </w:pPr>
  </w:style>
  <w:style w:type="character" w:customStyle="1" w:styleId="HeaderChar">
    <w:name w:val="Header Char"/>
    <w:basedOn w:val="DefaultParagraphFont"/>
    <w:link w:val="Header"/>
    <w:uiPriority w:val="99"/>
    <w:rsid w:val="005047CC"/>
    <w:rPr>
      <w:rFonts w:ascii="Arial" w:eastAsia="Arial" w:hAnsi="Arial" w:cs="Arial"/>
    </w:rPr>
  </w:style>
  <w:style w:type="paragraph" w:styleId="Footer">
    <w:name w:val="footer"/>
    <w:basedOn w:val="Normal"/>
    <w:link w:val="FooterChar"/>
    <w:uiPriority w:val="99"/>
    <w:unhideWhenUsed/>
    <w:rsid w:val="005047CC"/>
    <w:pPr>
      <w:tabs>
        <w:tab w:val="center" w:pos="4513"/>
        <w:tab w:val="right" w:pos="9026"/>
      </w:tabs>
    </w:pPr>
  </w:style>
  <w:style w:type="character" w:customStyle="1" w:styleId="FooterChar">
    <w:name w:val="Footer Char"/>
    <w:basedOn w:val="DefaultParagraphFont"/>
    <w:link w:val="Footer"/>
    <w:uiPriority w:val="99"/>
    <w:rsid w:val="005047CC"/>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0"/>
      <w:outlineLvl w:val="0"/>
    </w:pPr>
    <w:rPr>
      <w:b/>
      <w:bCs/>
      <w:sz w:val="24"/>
      <w:szCs w:val="24"/>
    </w:rPr>
  </w:style>
  <w:style w:type="paragraph" w:styleId="Heading2">
    <w:name w:val="heading 2"/>
    <w:basedOn w:val="Normal"/>
    <w:uiPriority w:val="1"/>
    <w:qFormat/>
    <w:pPr>
      <w:ind w:left="144"/>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6" w:lineRule="exact"/>
      <w:ind w:left="103"/>
    </w:pPr>
  </w:style>
  <w:style w:type="paragraph" w:styleId="BalloonText">
    <w:name w:val="Balloon Text"/>
    <w:basedOn w:val="Normal"/>
    <w:link w:val="BalloonTextChar"/>
    <w:uiPriority w:val="99"/>
    <w:semiHidden/>
    <w:unhideWhenUsed/>
    <w:rsid w:val="00D16153"/>
    <w:rPr>
      <w:rFonts w:ascii="Tahoma" w:hAnsi="Tahoma" w:cs="Tahoma"/>
      <w:sz w:val="16"/>
      <w:szCs w:val="16"/>
    </w:rPr>
  </w:style>
  <w:style w:type="character" w:customStyle="1" w:styleId="BalloonTextChar">
    <w:name w:val="Balloon Text Char"/>
    <w:basedOn w:val="DefaultParagraphFont"/>
    <w:link w:val="BalloonText"/>
    <w:uiPriority w:val="99"/>
    <w:semiHidden/>
    <w:rsid w:val="00D16153"/>
    <w:rPr>
      <w:rFonts w:ascii="Tahoma" w:eastAsia="Arial" w:hAnsi="Tahoma" w:cs="Tahoma"/>
      <w:sz w:val="16"/>
      <w:szCs w:val="16"/>
    </w:rPr>
  </w:style>
  <w:style w:type="paragraph" w:styleId="Header">
    <w:name w:val="header"/>
    <w:basedOn w:val="Normal"/>
    <w:link w:val="HeaderChar"/>
    <w:uiPriority w:val="99"/>
    <w:unhideWhenUsed/>
    <w:rsid w:val="005047CC"/>
    <w:pPr>
      <w:tabs>
        <w:tab w:val="center" w:pos="4513"/>
        <w:tab w:val="right" w:pos="9026"/>
      </w:tabs>
    </w:pPr>
  </w:style>
  <w:style w:type="character" w:customStyle="1" w:styleId="HeaderChar">
    <w:name w:val="Header Char"/>
    <w:basedOn w:val="DefaultParagraphFont"/>
    <w:link w:val="Header"/>
    <w:uiPriority w:val="99"/>
    <w:rsid w:val="005047CC"/>
    <w:rPr>
      <w:rFonts w:ascii="Arial" w:eastAsia="Arial" w:hAnsi="Arial" w:cs="Arial"/>
    </w:rPr>
  </w:style>
  <w:style w:type="paragraph" w:styleId="Footer">
    <w:name w:val="footer"/>
    <w:basedOn w:val="Normal"/>
    <w:link w:val="FooterChar"/>
    <w:uiPriority w:val="99"/>
    <w:unhideWhenUsed/>
    <w:rsid w:val="005047CC"/>
    <w:pPr>
      <w:tabs>
        <w:tab w:val="center" w:pos="4513"/>
        <w:tab w:val="right" w:pos="9026"/>
      </w:tabs>
    </w:pPr>
  </w:style>
  <w:style w:type="character" w:customStyle="1" w:styleId="FooterChar">
    <w:name w:val="Footer Char"/>
    <w:basedOn w:val="DefaultParagraphFont"/>
    <w:link w:val="Footer"/>
    <w:uiPriority w:val="99"/>
    <w:rsid w:val="005047C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ks.nhs.uk/back_pain_low_without_radiculopathy/management/scenario_chronic_low_back_pain_more_than_6_week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ks.nhs.uk/back_pain_low_without_radiculopathy/management/scenario_chronic_low_back_pain_more_than_6_wee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ks.nhs.uk/back_pain_low_without_radiculopathy/management/scenario_chronic_low_back_pain_more_than_6_weeks" TargetMode="External"/><Relationship Id="rId5" Type="http://schemas.openxmlformats.org/officeDocument/2006/relationships/settings" Target="settings.xml"/><Relationship Id="rId15" Type="http://schemas.openxmlformats.org/officeDocument/2006/relationships/hyperlink" Target="mailto:GLCCG.IFR@nhs.ne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ks.nhs.uk/back_pain_low_without_radiculopathy/management/scenario_chronic_low_back_pain_more_than_6_we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40DE-5D83-4DA7-8C5C-78EB9379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dcterms:created xsi:type="dcterms:W3CDTF">2018-05-17T09:43:00Z</dcterms:created>
  <dcterms:modified xsi:type="dcterms:W3CDTF">2018-05-17T09:43:00Z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2010</vt:lpwstr>
  </property>
  <property fmtid="{D5CDD505-2E9C-101B-9397-08002B2CF9AE}" pid="4" name="LastSaved">
    <vt:filetime>2018-05-09T00:00:00Z</vt:filetime>
  </property>
</Properties>
</file>