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68" w:rsidRDefault="000D1668" w:rsidP="000D1668">
      <w:pPr>
        <w:ind w:right="-472"/>
        <w:jc w:val="right"/>
      </w:pPr>
      <w:r>
        <w:rPr>
          <w:noProof/>
          <w:lang w:eastAsia="en-GB"/>
        </w:rPr>
        <mc:AlternateContent>
          <mc:Choice Requires="wps">
            <w:drawing>
              <wp:anchor distT="0" distB="0" distL="114300" distR="114300" simplePos="0" relativeHeight="251659264" behindDoc="0" locked="0" layoutInCell="1" allowOverlap="1" wp14:anchorId="4B99125F" wp14:editId="4A6298DC">
                <wp:simplePos x="0" y="0"/>
                <wp:positionH relativeFrom="column">
                  <wp:posOffset>-47625</wp:posOffset>
                </wp:positionH>
                <wp:positionV relativeFrom="paragraph">
                  <wp:posOffset>1271</wp:posOffset>
                </wp:positionV>
                <wp:extent cx="2374265" cy="9334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3450"/>
                        </a:xfrm>
                        <a:prstGeom prst="rect">
                          <a:avLst/>
                        </a:prstGeom>
                        <a:solidFill>
                          <a:srgbClr val="FFFFFF"/>
                        </a:solidFill>
                        <a:ln w="9525">
                          <a:solidFill>
                            <a:srgbClr val="000000"/>
                          </a:solidFill>
                          <a:miter lim="800000"/>
                          <a:headEnd/>
                          <a:tailEnd/>
                        </a:ln>
                      </wps:spPr>
                      <wps:txbx>
                        <w:txbxContent>
                          <w:p w:rsidR="000D1668" w:rsidRPr="000D1668" w:rsidRDefault="000D1668" w:rsidP="000D1668">
                            <w:pPr>
                              <w:widowControl w:val="0"/>
                              <w:kinsoku w:val="0"/>
                              <w:overflowPunct w:val="0"/>
                              <w:autoSpaceDE w:val="0"/>
                              <w:autoSpaceDN w:val="0"/>
                              <w:adjustRightInd w:val="0"/>
                              <w:spacing w:after="0" w:line="245" w:lineRule="exact"/>
                              <w:ind w:left="20"/>
                              <w:rPr>
                                <w:rFonts w:ascii="Calibri" w:eastAsiaTheme="minorEastAsia" w:hAnsi="Calibri" w:cs="Calibri"/>
                                <w:b/>
                                <w:bCs/>
                                <w:lang w:eastAsia="en-GB"/>
                              </w:rPr>
                            </w:pPr>
                            <w:r w:rsidRPr="000D1668">
                              <w:rPr>
                                <w:rFonts w:ascii="Calibri" w:eastAsiaTheme="minorEastAsia" w:hAnsi="Calibri" w:cs="Calibri"/>
                                <w:b/>
                                <w:bCs/>
                                <w:lang w:eastAsia="en-GB"/>
                              </w:rPr>
                              <w:t>Policy Category:</w:t>
                            </w:r>
                          </w:p>
                          <w:p w:rsidR="000D1668" w:rsidRPr="000D1668" w:rsidRDefault="000D1668" w:rsidP="000D1668">
                            <w:pPr>
                              <w:widowControl w:val="0"/>
                              <w:kinsoku w:val="0"/>
                              <w:overflowPunct w:val="0"/>
                              <w:autoSpaceDE w:val="0"/>
                              <w:autoSpaceDN w:val="0"/>
                              <w:adjustRightInd w:val="0"/>
                              <w:spacing w:before="41" w:after="0" w:line="240" w:lineRule="auto"/>
                              <w:ind w:left="20"/>
                              <w:rPr>
                                <w:rFonts w:ascii="Calibri" w:eastAsiaTheme="minorEastAsia" w:hAnsi="Calibri" w:cs="Calibri"/>
                                <w:b/>
                                <w:bCs/>
                                <w:color w:val="FF0000"/>
                                <w:lang w:eastAsia="en-GB"/>
                              </w:rPr>
                            </w:pPr>
                            <w:r>
                              <w:rPr>
                                <w:rFonts w:ascii="Calibri" w:eastAsiaTheme="minorEastAsia" w:hAnsi="Calibri" w:cs="Calibri"/>
                                <w:b/>
                                <w:bCs/>
                                <w:color w:val="FF0000"/>
                                <w:lang w:eastAsia="en-GB"/>
                              </w:rPr>
                              <w:t>INNF</w:t>
                            </w:r>
                          </w:p>
                          <w:p w:rsidR="000D1668" w:rsidRDefault="000D1668" w:rsidP="000D1668">
                            <w:pPr>
                              <w:widowControl w:val="0"/>
                              <w:kinsoku w:val="0"/>
                              <w:overflowPunct w:val="0"/>
                              <w:autoSpaceDE w:val="0"/>
                              <w:autoSpaceDN w:val="0"/>
                              <w:adjustRightInd w:val="0"/>
                              <w:spacing w:before="38" w:after="0"/>
                              <w:ind w:left="20" w:right="3"/>
                              <w:rPr>
                                <w:rFonts w:ascii="Calibri" w:eastAsiaTheme="minorEastAsia" w:hAnsi="Calibri" w:cs="Calibri"/>
                                <w:b/>
                                <w:bCs/>
                                <w:lang w:eastAsia="en-GB"/>
                              </w:rPr>
                            </w:pPr>
                            <w:r w:rsidRPr="000D1668">
                              <w:rPr>
                                <w:rFonts w:ascii="Calibri" w:eastAsiaTheme="minorEastAsia" w:hAnsi="Calibri" w:cs="Calibri"/>
                                <w:b/>
                                <w:bCs/>
                                <w:lang w:eastAsia="en-GB"/>
                              </w:rPr>
                              <w:t>Who usually applies for funding?</w:t>
                            </w:r>
                          </w:p>
                          <w:p w:rsidR="000D1668" w:rsidRPr="000D1668" w:rsidRDefault="000D1668" w:rsidP="000D1668">
                            <w:pPr>
                              <w:widowControl w:val="0"/>
                              <w:kinsoku w:val="0"/>
                              <w:overflowPunct w:val="0"/>
                              <w:autoSpaceDE w:val="0"/>
                              <w:autoSpaceDN w:val="0"/>
                              <w:adjustRightInd w:val="0"/>
                              <w:spacing w:before="38" w:after="0"/>
                              <w:ind w:left="20" w:right="3"/>
                              <w:rPr>
                                <w:rFonts w:ascii="Calibri" w:eastAsiaTheme="minorEastAsia" w:hAnsi="Calibri" w:cs="Calibri"/>
                                <w:b/>
                                <w:bCs/>
                                <w:color w:val="FF0000"/>
                                <w:lang w:eastAsia="en-GB"/>
                              </w:rPr>
                            </w:pPr>
                            <w:r w:rsidRPr="000D1668">
                              <w:rPr>
                                <w:rFonts w:ascii="Calibri" w:eastAsiaTheme="minorEastAsia" w:hAnsi="Calibri" w:cs="Calibri"/>
                                <w:b/>
                                <w:bCs/>
                                <w:color w:val="FF0000"/>
                                <w:lang w:eastAsia="en-GB"/>
                              </w:rPr>
                              <w:t>GP/Consultant</w:t>
                            </w:r>
                          </w:p>
                          <w:p w:rsidR="000D1668" w:rsidRDefault="000D16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pt;width:186.95pt;height:7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YJQ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">
                <v:textbox>
                  <w:txbxContent>
                    <w:p w:rsidR="000D1668" w:rsidRPr="000D1668" w:rsidRDefault="000D1668" w:rsidP="000D1668">
                      <w:pPr>
                        <w:widowControl w:val="0"/>
                        <w:kinsoku w:val="0"/>
                        <w:overflowPunct w:val="0"/>
                        <w:autoSpaceDE w:val="0"/>
                        <w:autoSpaceDN w:val="0"/>
                        <w:adjustRightInd w:val="0"/>
                        <w:spacing w:after="0" w:line="245" w:lineRule="exact"/>
                        <w:ind w:left="20"/>
                        <w:rPr>
                          <w:rFonts w:ascii="Calibri" w:eastAsiaTheme="minorEastAsia" w:hAnsi="Calibri" w:cs="Calibri"/>
                          <w:b/>
                          <w:bCs/>
                          <w:lang w:eastAsia="en-GB"/>
                        </w:rPr>
                      </w:pPr>
                      <w:r w:rsidRPr="000D1668">
                        <w:rPr>
                          <w:rFonts w:ascii="Calibri" w:eastAsiaTheme="minorEastAsia" w:hAnsi="Calibri" w:cs="Calibri"/>
                          <w:b/>
                          <w:bCs/>
                          <w:lang w:eastAsia="en-GB"/>
                        </w:rPr>
                        <w:t>Policy Category:</w:t>
                      </w:r>
                    </w:p>
                    <w:p w:rsidR="000D1668" w:rsidRPr="000D1668" w:rsidRDefault="000D1668" w:rsidP="000D1668">
                      <w:pPr>
                        <w:widowControl w:val="0"/>
                        <w:kinsoku w:val="0"/>
                        <w:overflowPunct w:val="0"/>
                        <w:autoSpaceDE w:val="0"/>
                        <w:autoSpaceDN w:val="0"/>
                        <w:adjustRightInd w:val="0"/>
                        <w:spacing w:before="41" w:after="0" w:line="240" w:lineRule="auto"/>
                        <w:ind w:left="20"/>
                        <w:rPr>
                          <w:rFonts w:ascii="Calibri" w:eastAsiaTheme="minorEastAsia" w:hAnsi="Calibri" w:cs="Calibri"/>
                          <w:b/>
                          <w:bCs/>
                          <w:color w:val="FF0000"/>
                          <w:lang w:eastAsia="en-GB"/>
                        </w:rPr>
                      </w:pPr>
                      <w:r>
                        <w:rPr>
                          <w:rFonts w:ascii="Calibri" w:eastAsiaTheme="minorEastAsia" w:hAnsi="Calibri" w:cs="Calibri"/>
                          <w:b/>
                          <w:bCs/>
                          <w:color w:val="FF0000"/>
                          <w:lang w:eastAsia="en-GB"/>
                        </w:rPr>
                        <w:t>INNF</w:t>
                      </w:r>
                    </w:p>
                    <w:p w:rsidR="000D1668" w:rsidRDefault="000D1668" w:rsidP="000D1668">
                      <w:pPr>
                        <w:widowControl w:val="0"/>
                        <w:kinsoku w:val="0"/>
                        <w:overflowPunct w:val="0"/>
                        <w:autoSpaceDE w:val="0"/>
                        <w:autoSpaceDN w:val="0"/>
                        <w:adjustRightInd w:val="0"/>
                        <w:spacing w:before="38" w:after="0"/>
                        <w:ind w:left="20" w:right="3"/>
                        <w:rPr>
                          <w:rFonts w:ascii="Calibri" w:eastAsiaTheme="minorEastAsia" w:hAnsi="Calibri" w:cs="Calibri"/>
                          <w:b/>
                          <w:bCs/>
                          <w:lang w:eastAsia="en-GB"/>
                        </w:rPr>
                      </w:pPr>
                      <w:r w:rsidRPr="000D1668">
                        <w:rPr>
                          <w:rFonts w:ascii="Calibri" w:eastAsiaTheme="minorEastAsia" w:hAnsi="Calibri" w:cs="Calibri"/>
                          <w:b/>
                          <w:bCs/>
                          <w:lang w:eastAsia="en-GB"/>
                        </w:rPr>
                        <w:t>Who usually applies for funding?</w:t>
                      </w:r>
                    </w:p>
                    <w:p w:rsidR="000D1668" w:rsidRPr="000D1668" w:rsidRDefault="000D1668" w:rsidP="000D1668">
                      <w:pPr>
                        <w:widowControl w:val="0"/>
                        <w:kinsoku w:val="0"/>
                        <w:overflowPunct w:val="0"/>
                        <w:autoSpaceDE w:val="0"/>
                        <w:autoSpaceDN w:val="0"/>
                        <w:adjustRightInd w:val="0"/>
                        <w:spacing w:before="38" w:after="0"/>
                        <w:ind w:left="20" w:right="3"/>
                        <w:rPr>
                          <w:rFonts w:ascii="Calibri" w:eastAsiaTheme="minorEastAsia" w:hAnsi="Calibri" w:cs="Calibri"/>
                          <w:b/>
                          <w:bCs/>
                          <w:color w:val="FF0000"/>
                          <w:lang w:eastAsia="en-GB"/>
                        </w:rPr>
                      </w:pPr>
                      <w:r w:rsidRPr="000D1668">
                        <w:rPr>
                          <w:rFonts w:ascii="Calibri" w:eastAsiaTheme="minorEastAsia" w:hAnsi="Calibri" w:cs="Calibri"/>
                          <w:b/>
                          <w:bCs/>
                          <w:color w:val="FF0000"/>
                          <w:lang w:eastAsia="en-GB"/>
                        </w:rPr>
                        <w:t>GP/Consultant</w:t>
                      </w:r>
                    </w:p>
                    <w:p w:rsidR="000D1668" w:rsidRDefault="000D1668"/>
                  </w:txbxContent>
                </v:textbox>
              </v:shape>
            </w:pict>
          </mc:Fallback>
        </mc:AlternateContent>
      </w:r>
      <w:r>
        <w:rPr>
          <w:rFonts w:ascii="Times New Roman" w:hAnsi="Times New Roman"/>
          <w:noProof/>
          <w:sz w:val="24"/>
          <w:szCs w:val="24"/>
          <w:lang w:eastAsia="en-GB"/>
        </w:rPr>
        <w:drawing>
          <wp:inline distT="0" distB="0" distL="0" distR="0" wp14:anchorId="438EFB4D" wp14:editId="5F4B8878">
            <wp:extent cx="24860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876300"/>
                    </a:xfrm>
                    <a:prstGeom prst="rect">
                      <a:avLst/>
                    </a:prstGeom>
                    <a:noFill/>
                    <a:ln>
                      <a:noFill/>
                    </a:ln>
                  </pic:spPr>
                </pic:pic>
              </a:graphicData>
            </a:graphic>
          </wp:inline>
        </w:drawing>
      </w:r>
    </w:p>
    <w:p w:rsidR="000D1668" w:rsidRDefault="000D1668" w:rsidP="000D1668">
      <w:pPr>
        <w:ind w:right="-472"/>
      </w:pPr>
    </w:p>
    <w:p w:rsidR="000D1668" w:rsidRPr="000D1668" w:rsidRDefault="000D1668" w:rsidP="000D1668">
      <w:pPr>
        <w:ind w:right="-472"/>
        <w:jc w:val="center"/>
        <w:rPr>
          <w:rFonts w:ascii="Arial" w:hAnsi="Arial" w:cs="Arial"/>
          <w:b/>
          <w:sz w:val="28"/>
          <w:szCs w:val="28"/>
        </w:rPr>
      </w:pPr>
      <w:r w:rsidRPr="000D1668">
        <w:rPr>
          <w:rFonts w:ascii="Arial" w:hAnsi="Arial" w:cs="Arial"/>
          <w:b/>
          <w:sz w:val="28"/>
          <w:szCs w:val="28"/>
        </w:rPr>
        <w:t>Complementary Therapy</w:t>
      </w:r>
    </w:p>
    <w:tbl>
      <w:tblPr>
        <w:tblStyle w:val="TableGrid"/>
        <w:tblW w:w="0" w:type="auto"/>
        <w:tblLook w:val="04A0" w:firstRow="1" w:lastRow="0" w:firstColumn="1" w:lastColumn="0" w:noHBand="0" w:noVBand="1"/>
      </w:tblPr>
      <w:tblGrid>
        <w:gridCol w:w="3085"/>
        <w:gridCol w:w="6464"/>
      </w:tblGrid>
      <w:tr w:rsidR="000D1668" w:rsidTr="0098484A">
        <w:trPr>
          <w:trHeight w:val="827"/>
        </w:trPr>
        <w:tc>
          <w:tcPr>
            <w:tcW w:w="3085" w:type="dxa"/>
            <w:shd w:val="clear" w:color="auto" w:fill="D9D9D9" w:themeFill="background1" w:themeFillShade="D9"/>
          </w:tcPr>
          <w:p w:rsidR="000D1668" w:rsidRPr="0098484A" w:rsidRDefault="0098484A" w:rsidP="0098484A">
            <w:pPr>
              <w:ind w:right="-472"/>
              <w:rPr>
                <w:rFonts w:ascii="Arial" w:hAnsi="Arial" w:cs="Arial"/>
                <w:b/>
                <w:sz w:val="24"/>
                <w:szCs w:val="24"/>
              </w:rPr>
            </w:pPr>
            <w:r w:rsidRPr="0098484A">
              <w:rPr>
                <w:rFonts w:ascii="Arial" w:hAnsi="Arial" w:cs="Arial"/>
                <w:b/>
                <w:sz w:val="24"/>
                <w:szCs w:val="24"/>
              </w:rPr>
              <w:t xml:space="preserve">Commissioning decision </w:t>
            </w:r>
          </w:p>
        </w:tc>
        <w:tc>
          <w:tcPr>
            <w:tcW w:w="6464" w:type="dxa"/>
          </w:tcPr>
          <w:p w:rsidR="000D1668" w:rsidRPr="0098484A" w:rsidRDefault="0098484A" w:rsidP="0098484A">
            <w:pPr>
              <w:ind w:right="-472"/>
              <w:rPr>
                <w:rFonts w:ascii="Arial" w:hAnsi="Arial" w:cs="Arial"/>
                <w:b/>
                <w:sz w:val="24"/>
                <w:szCs w:val="24"/>
              </w:rPr>
            </w:pPr>
            <w:r w:rsidRPr="0098484A">
              <w:rPr>
                <w:rFonts w:ascii="Arial" w:hAnsi="Arial" w:cs="Arial"/>
                <w:b/>
                <w:sz w:val="24"/>
                <w:szCs w:val="24"/>
              </w:rPr>
              <w:t>Funding approval must be sought from the CCG via the Individual Funding Request process prior to treatment.</w:t>
            </w:r>
          </w:p>
        </w:tc>
      </w:tr>
    </w:tbl>
    <w:p w:rsidR="000D1668" w:rsidRDefault="000D1668" w:rsidP="000D1668">
      <w:pPr>
        <w:ind w:right="-472"/>
        <w:jc w:val="right"/>
      </w:pPr>
    </w:p>
    <w:p w:rsidR="0098484A" w:rsidRDefault="0098484A" w:rsidP="0098484A">
      <w:pPr>
        <w:rPr>
          <w:rFonts w:ascii="Arial" w:eastAsia="Calibri" w:hAnsi="Arial" w:cs="Arial"/>
          <w:b/>
          <w:noProof/>
          <w:sz w:val="24"/>
          <w:szCs w:val="24"/>
          <w:lang w:eastAsia="en-GB"/>
        </w:rPr>
      </w:pPr>
      <w:r>
        <w:rPr>
          <w:noProof/>
          <w:lang w:eastAsia="en-GB"/>
        </w:rPr>
        <mc:AlternateContent>
          <mc:Choice Requires="wps">
            <w:drawing>
              <wp:anchor distT="0" distB="0" distL="114300" distR="114300" simplePos="0" relativeHeight="251661312" behindDoc="0" locked="0" layoutInCell="1" allowOverlap="1" wp14:anchorId="760B52F3" wp14:editId="2B7A3B3A">
                <wp:simplePos x="0" y="0"/>
                <wp:positionH relativeFrom="column">
                  <wp:align>center</wp:align>
                </wp:positionH>
                <wp:positionV relativeFrom="paragraph">
                  <wp:posOffset>0</wp:posOffset>
                </wp:positionV>
                <wp:extent cx="6029325" cy="3733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33800"/>
                        </a:xfrm>
                        <a:prstGeom prst="rect">
                          <a:avLst/>
                        </a:prstGeom>
                        <a:solidFill>
                          <a:srgbClr val="FFFFFF"/>
                        </a:solidFill>
                        <a:ln w="9525">
                          <a:solidFill>
                            <a:srgbClr val="000000"/>
                          </a:solidFill>
                          <a:miter lim="800000"/>
                          <a:headEnd/>
                          <a:tailEnd/>
                        </a:ln>
                      </wps:spPr>
                      <wps:txbx>
                        <w:txbxContent>
                          <w:p w:rsidR="0098484A" w:rsidRPr="0098484A" w:rsidRDefault="0098484A" w:rsidP="0098484A">
                            <w:pPr>
                              <w:spacing w:after="120" w:line="240" w:lineRule="auto"/>
                              <w:ind w:left="142"/>
                              <w:suppressOverlap/>
                              <w:rPr>
                                <w:rFonts w:ascii="Arial" w:eastAsia="Times New Roman" w:hAnsi="Arial" w:cs="Times New Roman"/>
                                <w:sz w:val="24"/>
                                <w:szCs w:val="20"/>
                              </w:rPr>
                            </w:pPr>
                            <w:r w:rsidRPr="0098484A">
                              <w:rPr>
                                <w:rFonts w:ascii="Arial" w:eastAsia="Times New Roman" w:hAnsi="Arial" w:cs="Times New Roman"/>
                                <w:sz w:val="24"/>
                                <w:szCs w:val="20"/>
                              </w:rPr>
                              <w:t xml:space="preserve">Complementary and Alternative Medicine is a title used to refer to a diverse group of health-related therapies and disciplines which are not considered to be a part of mainstream medical care. The therapies provided by complementary and alternative medicine practitioners may be provided alongside conventional medicine or may be viewed by their practitioners as a substitute for it.  </w:t>
                            </w:r>
                          </w:p>
                          <w:p w:rsidR="0098484A" w:rsidRPr="0098484A" w:rsidRDefault="0098484A" w:rsidP="0098484A">
                            <w:pPr>
                              <w:spacing w:after="120" w:line="240" w:lineRule="auto"/>
                              <w:ind w:left="142"/>
                              <w:suppressOverlap/>
                              <w:rPr>
                                <w:rFonts w:ascii="Arial" w:eastAsia="Times New Roman" w:hAnsi="Arial" w:cs="Arial"/>
                                <w:sz w:val="24"/>
                                <w:szCs w:val="20"/>
                              </w:rPr>
                            </w:pPr>
                            <w:r w:rsidRPr="0098484A">
                              <w:rPr>
                                <w:rFonts w:ascii="Arial" w:eastAsia="Times New Roman" w:hAnsi="Arial" w:cs="Arial"/>
                                <w:sz w:val="24"/>
                                <w:szCs w:val="20"/>
                              </w:rPr>
                              <w:t>The CCG will only fund interventions that are supported by evidence that demonstrates clinical and cost effectiveness. At this time there is insufficient high quality evidence to demonstrate the clinical and cost effectiveness of complementary and alternative medicine. Complementary and alternative medicines are therefore considered a low priority and will not be normally funded. The policy statement will be reviewed in the light of new evidence as appropriate.</w:t>
                            </w:r>
                          </w:p>
                          <w:p w:rsidR="0098484A" w:rsidRPr="0098484A" w:rsidRDefault="0098484A" w:rsidP="0098484A">
                            <w:pPr>
                              <w:spacing w:after="120" w:line="240" w:lineRule="auto"/>
                              <w:ind w:left="142"/>
                              <w:suppressOverlap/>
                              <w:rPr>
                                <w:rFonts w:ascii="Arial" w:eastAsia="Times New Roman" w:hAnsi="Arial" w:cs="Arial"/>
                                <w:sz w:val="24"/>
                                <w:szCs w:val="20"/>
                              </w:rPr>
                            </w:pPr>
                            <w:r w:rsidRPr="0098484A">
                              <w:rPr>
                                <w:rFonts w:ascii="Arial" w:eastAsia="Times New Roman" w:hAnsi="Arial" w:cs="Arial"/>
                                <w:sz w:val="24"/>
                                <w:szCs w:val="20"/>
                              </w:rPr>
                              <w:t>Acupuncture and osteopathic and chiropractic techniques are used by mainstream NHS health care providers for the early management of non-specific low back pain as per NICE Clinical Guideline 88 (2009). However, the CCG will not normally commission these services additionally.</w:t>
                            </w:r>
                          </w:p>
                          <w:p w:rsidR="0098484A" w:rsidRPr="0098484A" w:rsidRDefault="0098484A" w:rsidP="0098484A">
                            <w:pPr>
                              <w:ind w:left="142"/>
                              <w:rPr>
                                <w:rFonts w:ascii="Arial" w:eastAsia="Times New Roman" w:hAnsi="Arial" w:cs="Arial"/>
                                <w:sz w:val="24"/>
                                <w:szCs w:val="20"/>
                              </w:rPr>
                            </w:pPr>
                            <w:r w:rsidRPr="0098484A">
                              <w:rPr>
                                <w:rFonts w:ascii="Arial" w:eastAsia="Times New Roman" w:hAnsi="Arial" w:cs="Arial"/>
                                <w:sz w:val="24"/>
                                <w:szCs w:val="20"/>
                              </w:rPr>
                              <w:t xml:space="preserve">Patients who are not eligible for treatment under this policy can be considered on an individual basis where GP or clinician believes there are exceptional clinical circumstances to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74.75pt;height:29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">
                <v:textbox>
                  <w:txbxContent>
                    <w:p w:rsidR="0098484A" w:rsidRPr="0098484A" w:rsidRDefault="0098484A" w:rsidP="0098484A">
                      <w:pPr>
                        <w:spacing w:after="120" w:line="240" w:lineRule="auto"/>
                        <w:ind w:left="142"/>
                        <w:suppressOverlap/>
                        <w:rPr>
                          <w:rFonts w:ascii="Arial" w:eastAsia="Times New Roman" w:hAnsi="Arial" w:cs="Times New Roman"/>
                          <w:sz w:val="24"/>
                          <w:szCs w:val="20"/>
                        </w:rPr>
                      </w:pPr>
                      <w:r w:rsidRPr="0098484A">
                        <w:rPr>
                          <w:rFonts w:ascii="Arial" w:eastAsia="Times New Roman" w:hAnsi="Arial" w:cs="Times New Roman"/>
                          <w:sz w:val="24"/>
                          <w:szCs w:val="20"/>
                        </w:rPr>
                        <w:t xml:space="preserve">Complementary and Alternative Medicine is a title used to refer to a diverse group of health-related therapies and disciplines which are not considered to be a part of mainstream medical care. The therapies provided by complementary and alternative medicine practitioners may be provided alongside conventional medicine or may be viewed by their practitioners as a substitute for it.  </w:t>
                      </w:r>
                    </w:p>
                    <w:p w:rsidR="0098484A" w:rsidRPr="0098484A" w:rsidRDefault="0098484A" w:rsidP="0098484A">
                      <w:pPr>
                        <w:spacing w:after="120" w:line="240" w:lineRule="auto"/>
                        <w:ind w:left="142"/>
                        <w:suppressOverlap/>
                        <w:rPr>
                          <w:rFonts w:ascii="Arial" w:eastAsia="Times New Roman" w:hAnsi="Arial" w:cs="Arial"/>
                          <w:sz w:val="24"/>
                          <w:szCs w:val="20"/>
                        </w:rPr>
                      </w:pPr>
                      <w:r w:rsidRPr="0098484A">
                        <w:rPr>
                          <w:rFonts w:ascii="Arial" w:eastAsia="Times New Roman" w:hAnsi="Arial" w:cs="Arial"/>
                          <w:sz w:val="24"/>
                          <w:szCs w:val="20"/>
                        </w:rPr>
                        <w:t>The CCG will only fund interventions that are supported by evidence that demonstrates clinical and cost effectiveness. At this time there is insufficient high quality evidence to demonstrate the clinical and cost effectiveness of complementary and alternative medicine. Complementary and alternative medicines are therefore considered a low priority and will not be normally funded. The policy statement will be reviewed in the light of new evidence as appropriate.</w:t>
                      </w:r>
                    </w:p>
                    <w:p w:rsidR="0098484A" w:rsidRPr="0098484A" w:rsidRDefault="0098484A" w:rsidP="0098484A">
                      <w:pPr>
                        <w:spacing w:after="120" w:line="240" w:lineRule="auto"/>
                        <w:ind w:left="142"/>
                        <w:suppressOverlap/>
                        <w:rPr>
                          <w:rFonts w:ascii="Arial" w:eastAsia="Times New Roman" w:hAnsi="Arial" w:cs="Arial"/>
                          <w:sz w:val="24"/>
                          <w:szCs w:val="20"/>
                        </w:rPr>
                      </w:pPr>
                      <w:r w:rsidRPr="0098484A">
                        <w:rPr>
                          <w:rFonts w:ascii="Arial" w:eastAsia="Times New Roman" w:hAnsi="Arial" w:cs="Arial"/>
                          <w:sz w:val="24"/>
                          <w:szCs w:val="20"/>
                        </w:rPr>
                        <w:t>Acupuncture and osteopathic and chiropractic techniques are used by mainstream NHS health care providers for the early management of non-specific low back pain as per NICE Clinical Guideline 88 (2009). However, the CCG will not normally commission these services additionally.</w:t>
                      </w:r>
                    </w:p>
                    <w:p w:rsidR="0098484A" w:rsidRPr="0098484A" w:rsidRDefault="0098484A" w:rsidP="0098484A">
                      <w:pPr>
                        <w:ind w:left="142"/>
                        <w:rPr>
                          <w:rFonts w:ascii="Arial" w:eastAsia="Times New Roman" w:hAnsi="Arial" w:cs="Arial"/>
                          <w:sz w:val="24"/>
                          <w:szCs w:val="20"/>
                        </w:rPr>
                      </w:pPr>
                      <w:r w:rsidRPr="0098484A">
                        <w:rPr>
                          <w:rFonts w:ascii="Arial" w:eastAsia="Times New Roman" w:hAnsi="Arial" w:cs="Arial"/>
                          <w:sz w:val="24"/>
                          <w:szCs w:val="20"/>
                        </w:rPr>
                        <w:t xml:space="preserve">Patients who are not eligible for treatment under this policy can be considered on an individual basis where GP or clinician believes there are exceptional clinical circumstances to policy.  </w:t>
                      </w:r>
                    </w:p>
                  </w:txbxContent>
                </v:textbox>
              </v:shape>
            </w:pict>
          </mc:Fallback>
        </mc:AlternateContent>
      </w: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Default="0098484A" w:rsidP="0098484A">
      <w:pPr>
        <w:rPr>
          <w:rFonts w:ascii="Arial" w:eastAsia="Calibri" w:hAnsi="Arial" w:cs="Arial"/>
          <w:b/>
          <w:noProof/>
          <w:sz w:val="24"/>
          <w:szCs w:val="24"/>
          <w:lang w:eastAsia="en-GB"/>
        </w:rPr>
      </w:pPr>
    </w:p>
    <w:p w:rsidR="0098484A" w:rsidRPr="00270A02" w:rsidRDefault="0098484A" w:rsidP="0098484A">
      <w:pPr>
        <w:rPr>
          <w:rFonts w:ascii="Arial" w:eastAsia="Calibri" w:hAnsi="Arial" w:cs="Arial"/>
          <w:noProof/>
          <w:sz w:val="24"/>
          <w:szCs w:val="24"/>
          <w:lang w:eastAsia="en-GB"/>
        </w:rPr>
      </w:pPr>
      <w:r w:rsidRPr="00270A02">
        <w:rPr>
          <w:rFonts w:ascii="Arial" w:eastAsia="Calibri" w:hAnsi="Arial" w:cs="Arial"/>
          <w:noProof/>
          <w:sz w:val="24"/>
          <w:szCs w:val="24"/>
          <w:lang w:eastAsia="en-GB"/>
        </w:rPr>
        <w:t>Link to application form – Individual Funding Request application form</w:t>
      </w:r>
    </w:p>
    <w:p w:rsidR="0098484A" w:rsidRDefault="0098484A" w:rsidP="0098484A">
      <w:pPr>
        <w:rPr>
          <w:rFonts w:ascii="Arial" w:eastAsia="Calibri" w:hAnsi="Arial" w:cs="Arial"/>
          <w:noProof/>
          <w:sz w:val="24"/>
          <w:szCs w:val="24"/>
          <w:lang w:eastAsia="en-GB"/>
        </w:rPr>
      </w:pPr>
      <w:r w:rsidRPr="00270A02">
        <w:rPr>
          <w:rFonts w:ascii="Arial" w:eastAsia="Calibri" w:hAnsi="Arial" w:cs="Arial"/>
          <w:noProof/>
          <w:sz w:val="24"/>
          <w:szCs w:val="24"/>
          <w:lang w:eastAsia="en-GB"/>
        </w:rPr>
        <w:t xml:space="preserve">For further information please contact </w:t>
      </w:r>
      <w:hyperlink r:id="rId8" w:history="1">
        <w:r w:rsidRPr="00270A02">
          <w:rPr>
            <w:rStyle w:val="Hyperlink"/>
            <w:rFonts w:ascii="Arial" w:eastAsia="Calibri" w:hAnsi="Arial" w:cs="Arial"/>
            <w:noProof/>
            <w:sz w:val="24"/>
            <w:szCs w:val="24"/>
            <w:lang w:eastAsia="en-GB"/>
          </w:rPr>
          <w:t>glccg.ifr@nhs.net</w:t>
        </w:r>
      </w:hyperlink>
      <w:r w:rsidRPr="00270A02">
        <w:rPr>
          <w:rFonts w:ascii="Arial" w:eastAsia="Calibri" w:hAnsi="Arial" w:cs="Arial"/>
          <w:noProof/>
          <w:sz w:val="24"/>
          <w:szCs w:val="24"/>
          <w:lang w:eastAsia="en-GB"/>
        </w:rPr>
        <w:t xml:space="preserve"> </w:t>
      </w:r>
    </w:p>
    <w:tbl>
      <w:tblPr>
        <w:tblStyle w:val="TableGrid"/>
        <w:tblW w:w="0" w:type="auto"/>
        <w:tblLook w:val="04A0" w:firstRow="1" w:lastRow="0" w:firstColumn="1" w:lastColumn="0" w:noHBand="0" w:noVBand="1"/>
      </w:tblPr>
      <w:tblGrid>
        <w:gridCol w:w="4077"/>
        <w:gridCol w:w="5472"/>
      </w:tblGrid>
      <w:tr w:rsidR="00270A02" w:rsidTr="00270A02">
        <w:tc>
          <w:tcPr>
            <w:tcW w:w="4077" w:type="dxa"/>
          </w:tcPr>
          <w:p w:rsidR="00270A02" w:rsidRDefault="00270A02" w:rsidP="0098484A">
            <w:pPr>
              <w:rPr>
                <w:rFonts w:ascii="Arial" w:eastAsia="Calibri" w:hAnsi="Arial" w:cs="Arial"/>
                <w:noProof/>
                <w:sz w:val="24"/>
                <w:szCs w:val="24"/>
                <w:lang w:eastAsia="en-GB"/>
              </w:rPr>
            </w:pPr>
            <w:r>
              <w:rPr>
                <w:rFonts w:ascii="Arial" w:eastAsia="Calibri" w:hAnsi="Arial" w:cs="Arial"/>
                <w:noProof/>
                <w:sz w:val="24"/>
                <w:szCs w:val="24"/>
                <w:lang w:eastAsia="en-GB"/>
              </w:rPr>
              <w:t>Policy review date</w:t>
            </w:r>
          </w:p>
        </w:tc>
        <w:tc>
          <w:tcPr>
            <w:tcW w:w="5472" w:type="dxa"/>
          </w:tcPr>
          <w:p w:rsidR="00270A02" w:rsidRDefault="00270A02" w:rsidP="0098484A">
            <w:pPr>
              <w:rPr>
                <w:rFonts w:ascii="Arial" w:eastAsia="Calibri" w:hAnsi="Arial" w:cs="Arial"/>
                <w:noProof/>
                <w:sz w:val="24"/>
                <w:szCs w:val="24"/>
                <w:lang w:eastAsia="en-GB"/>
              </w:rPr>
            </w:pPr>
            <w:r>
              <w:rPr>
                <w:rFonts w:ascii="Arial" w:eastAsia="Calibri" w:hAnsi="Arial" w:cs="Arial"/>
                <w:noProof/>
                <w:sz w:val="24"/>
                <w:szCs w:val="24"/>
                <w:lang w:eastAsia="en-GB"/>
              </w:rPr>
              <w:t>November 2023</w:t>
            </w:r>
          </w:p>
        </w:tc>
      </w:tr>
    </w:tbl>
    <w:p w:rsidR="00270A02" w:rsidRPr="00270A02" w:rsidRDefault="00270A02" w:rsidP="0098484A">
      <w:pPr>
        <w:rPr>
          <w:rFonts w:ascii="Arial" w:eastAsia="Calibri" w:hAnsi="Arial" w:cs="Arial"/>
          <w:noProof/>
          <w:sz w:val="24"/>
          <w:szCs w:val="24"/>
          <w:lang w:eastAsia="en-GB"/>
        </w:rPr>
      </w:pPr>
    </w:p>
    <w:p w:rsidR="0098484A" w:rsidRPr="0098484A" w:rsidRDefault="0098484A" w:rsidP="0098484A">
      <w:pPr>
        <w:rPr>
          <w:rFonts w:ascii="Arial" w:eastAsia="Calibri" w:hAnsi="Arial" w:cs="Arial"/>
          <w:b/>
          <w:noProof/>
          <w:sz w:val="24"/>
          <w:szCs w:val="24"/>
          <w:lang w:eastAsia="en-GB"/>
        </w:rPr>
      </w:pPr>
      <w:r w:rsidRPr="0098484A">
        <w:rPr>
          <w:rFonts w:ascii="Arial" w:eastAsia="Calibri" w:hAnsi="Arial" w:cs="Arial"/>
          <w:b/>
          <w:noProof/>
          <w:sz w:val="24"/>
          <w:szCs w:val="24"/>
          <w:lang w:eastAsia="en-GB"/>
        </w:rPr>
        <w:t>Version Control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1318"/>
        <w:gridCol w:w="3678"/>
      </w:tblGrid>
      <w:tr w:rsidR="0098484A" w:rsidRPr="0098484A" w:rsidTr="00270A02">
        <w:trPr>
          <w:trHeight w:val="388"/>
        </w:trPr>
        <w:tc>
          <w:tcPr>
            <w:tcW w:w="2310" w:type="dxa"/>
            <w:shd w:val="clear" w:color="auto" w:fill="auto"/>
          </w:tcPr>
          <w:p w:rsidR="0098484A" w:rsidRPr="0098484A" w:rsidRDefault="0098484A" w:rsidP="0098484A">
            <w:pPr>
              <w:spacing w:after="0" w:line="240" w:lineRule="auto"/>
              <w:rPr>
                <w:rFonts w:ascii="Arial" w:eastAsia="Calibri" w:hAnsi="Arial" w:cs="Arial"/>
                <w:b/>
                <w:sz w:val="24"/>
                <w:szCs w:val="24"/>
              </w:rPr>
            </w:pPr>
            <w:r w:rsidRPr="0098484A">
              <w:rPr>
                <w:rFonts w:ascii="Arial" w:eastAsia="Calibri" w:hAnsi="Arial" w:cs="Arial"/>
                <w:b/>
                <w:sz w:val="24"/>
                <w:szCs w:val="24"/>
              </w:rPr>
              <w:t>Version No</w:t>
            </w:r>
          </w:p>
        </w:tc>
        <w:tc>
          <w:tcPr>
            <w:tcW w:w="2310" w:type="dxa"/>
            <w:shd w:val="clear" w:color="auto" w:fill="auto"/>
          </w:tcPr>
          <w:p w:rsidR="0098484A" w:rsidRPr="0098484A" w:rsidRDefault="0098484A" w:rsidP="0098484A">
            <w:pPr>
              <w:spacing w:after="0" w:line="240" w:lineRule="auto"/>
              <w:rPr>
                <w:rFonts w:ascii="Arial" w:eastAsia="Calibri" w:hAnsi="Arial" w:cs="Arial"/>
                <w:b/>
                <w:sz w:val="24"/>
                <w:szCs w:val="24"/>
              </w:rPr>
            </w:pPr>
            <w:r w:rsidRPr="0098484A">
              <w:rPr>
                <w:rFonts w:ascii="Arial" w:eastAsia="Calibri" w:hAnsi="Arial" w:cs="Arial"/>
                <w:b/>
                <w:sz w:val="24"/>
                <w:szCs w:val="24"/>
              </w:rPr>
              <w:t>Type of change</w:t>
            </w:r>
          </w:p>
        </w:tc>
        <w:tc>
          <w:tcPr>
            <w:tcW w:w="1300" w:type="dxa"/>
            <w:shd w:val="clear" w:color="auto" w:fill="auto"/>
          </w:tcPr>
          <w:p w:rsidR="0098484A" w:rsidRPr="0098484A" w:rsidRDefault="0098484A" w:rsidP="0098484A">
            <w:pPr>
              <w:spacing w:after="0" w:line="240" w:lineRule="auto"/>
              <w:rPr>
                <w:rFonts w:ascii="Arial" w:eastAsia="Calibri" w:hAnsi="Arial" w:cs="Arial"/>
                <w:b/>
                <w:sz w:val="24"/>
                <w:szCs w:val="24"/>
              </w:rPr>
            </w:pPr>
            <w:r w:rsidRPr="0098484A">
              <w:rPr>
                <w:rFonts w:ascii="Arial" w:eastAsia="Calibri" w:hAnsi="Arial" w:cs="Arial"/>
                <w:b/>
                <w:sz w:val="24"/>
                <w:szCs w:val="24"/>
              </w:rPr>
              <w:t xml:space="preserve">Date </w:t>
            </w:r>
          </w:p>
        </w:tc>
        <w:tc>
          <w:tcPr>
            <w:tcW w:w="3686" w:type="dxa"/>
            <w:shd w:val="clear" w:color="auto" w:fill="auto"/>
          </w:tcPr>
          <w:p w:rsidR="0098484A" w:rsidRPr="0098484A" w:rsidRDefault="0098484A" w:rsidP="0098484A">
            <w:pPr>
              <w:spacing w:after="0" w:line="240" w:lineRule="auto"/>
              <w:rPr>
                <w:rFonts w:ascii="Arial" w:eastAsia="Calibri" w:hAnsi="Arial" w:cs="Arial"/>
                <w:b/>
                <w:sz w:val="24"/>
                <w:szCs w:val="24"/>
              </w:rPr>
            </w:pPr>
            <w:r w:rsidRPr="0098484A">
              <w:rPr>
                <w:rFonts w:ascii="Arial" w:eastAsia="Calibri" w:hAnsi="Arial" w:cs="Arial"/>
                <w:b/>
                <w:sz w:val="24"/>
                <w:szCs w:val="24"/>
              </w:rPr>
              <w:t>Description of Change</w:t>
            </w:r>
          </w:p>
        </w:tc>
      </w:tr>
      <w:tr w:rsidR="0098484A" w:rsidRPr="0098484A" w:rsidTr="00270A02">
        <w:trPr>
          <w:trHeight w:val="279"/>
        </w:trPr>
        <w:tc>
          <w:tcPr>
            <w:tcW w:w="2310" w:type="dxa"/>
            <w:shd w:val="clear" w:color="auto" w:fill="auto"/>
          </w:tcPr>
          <w:p w:rsidR="0098484A" w:rsidRPr="0098484A" w:rsidRDefault="00270A02" w:rsidP="0098484A">
            <w:pPr>
              <w:spacing w:after="0" w:line="240" w:lineRule="auto"/>
              <w:rPr>
                <w:rFonts w:ascii="Calibri" w:eastAsia="Calibri" w:hAnsi="Calibri" w:cs="Times New Roman"/>
              </w:rPr>
            </w:pPr>
            <w:r>
              <w:rPr>
                <w:rFonts w:ascii="Calibri" w:eastAsia="Calibri" w:hAnsi="Calibri" w:cs="Times New Roman"/>
              </w:rPr>
              <w:t>1</w:t>
            </w:r>
          </w:p>
        </w:tc>
        <w:tc>
          <w:tcPr>
            <w:tcW w:w="2310" w:type="dxa"/>
            <w:shd w:val="clear" w:color="auto" w:fill="auto"/>
          </w:tcPr>
          <w:p w:rsidR="0098484A" w:rsidRPr="0098484A" w:rsidRDefault="0098484A" w:rsidP="0098484A">
            <w:pPr>
              <w:spacing w:after="0" w:line="240" w:lineRule="auto"/>
              <w:rPr>
                <w:rFonts w:ascii="Calibri" w:eastAsia="Calibri" w:hAnsi="Calibri" w:cs="Times New Roman"/>
              </w:rPr>
            </w:pPr>
          </w:p>
        </w:tc>
        <w:tc>
          <w:tcPr>
            <w:tcW w:w="1300" w:type="dxa"/>
            <w:shd w:val="clear" w:color="auto" w:fill="auto"/>
          </w:tcPr>
          <w:p w:rsidR="0098484A" w:rsidRPr="0098484A" w:rsidRDefault="0098484A" w:rsidP="0098484A">
            <w:pPr>
              <w:spacing w:after="0" w:line="240" w:lineRule="auto"/>
              <w:rPr>
                <w:rFonts w:ascii="Calibri" w:eastAsia="Calibri" w:hAnsi="Calibri" w:cs="Times New Roman"/>
              </w:rPr>
            </w:pPr>
          </w:p>
        </w:tc>
        <w:tc>
          <w:tcPr>
            <w:tcW w:w="3686" w:type="dxa"/>
            <w:shd w:val="clear" w:color="auto" w:fill="auto"/>
          </w:tcPr>
          <w:p w:rsidR="0098484A" w:rsidRPr="0098484A" w:rsidRDefault="0098484A" w:rsidP="0098484A">
            <w:pPr>
              <w:spacing w:after="0" w:line="240" w:lineRule="auto"/>
              <w:rPr>
                <w:rFonts w:ascii="Calibri" w:eastAsia="Calibri" w:hAnsi="Calibri" w:cs="Times New Roman"/>
              </w:rPr>
            </w:pPr>
          </w:p>
        </w:tc>
      </w:tr>
      <w:tr w:rsidR="0098484A" w:rsidRPr="0098484A" w:rsidTr="00270A02">
        <w:tc>
          <w:tcPr>
            <w:tcW w:w="2310" w:type="dxa"/>
            <w:shd w:val="clear" w:color="auto" w:fill="auto"/>
          </w:tcPr>
          <w:p w:rsidR="0098484A" w:rsidRPr="0098484A" w:rsidRDefault="00270A02" w:rsidP="0098484A">
            <w:pPr>
              <w:spacing w:after="0" w:line="240" w:lineRule="auto"/>
              <w:rPr>
                <w:rFonts w:ascii="Calibri" w:eastAsia="Calibri" w:hAnsi="Calibri" w:cs="Times New Roman"/>
              </w:rPr>
            </w:pPr>
            <w:r>
              <w:rPr>
                <w:rFonts w:ascii="Calibri" w:eastAsia="Calibri" w:hAnsi="Calibri" w:cs="Times New Roman"/>
              </w:rPr>
              <w:t>2</w:t>
            </w:r>
          </w:p>
        </w:tc>
        <w:tc>
          <w:tcPr>
            <w:tcW w:w="2310" w:type="dxa"/>
            <w:shd w:val="clear" w:color="auto" w:fill="auto"/>
          </w:tcPr>
          <w:p w:rsidR="0098484A" w:rsidRPr="0098484A" w:rsidRDefault="00270A02" w:rsidP="0098484A">
            <w:pPr>
              <w:spacing w:after="0" w:line="240" w:lineRule="auto"/>
              <w:rPr>
                <w:rFonts w:ascii="Arial" w:eastAsia="Calibri" w:hAnsi="Arial" w:cs="Arial"/>
              </w:rPr>
            </w:pPr>
            <w:r w:rsidRPr="00270A02">
              <w:rPr>
                <w:rFonts w:ascii="Arial" w:eastAsia="Calibri" w:hAnsi="Arial" w:cs="Arial"/>
              </w:rPr>
              <w:t xml:space="preserve">Date </w:t>
            </w:r>
          </w:p>
        </w:tc>
        <w:tc>
          <w:tcPr>
            <w:tcW w:w="1300" w:type="dxa"/>
            <w:shd w:val="clear" w:color="auto" w:fill="auto"/>
          </w:tcPr>
          <w:p w:rsidR="0098484A" w:rsidRPr="0098484A" w:rsidRDefault="00270A02" w:rsidP="0098484A">
            <w:pPr>
              <w:spacing w:after="0" w:line="240" w:lineRule="auto"/>
              <w:rPr>
                <w:rFonts w:ascii="Arial" w:eastAsia="Calibri" w:hAnsi="Arial" w:cs="Arial"/>
              </w:rPr>
            </w:pPr>
            <w:r w:rsidRPr="00270A02">
              <w:rPr>
                <w:rFonts w:ascii="Arial" w:eastAsia="Calibri" w:hAnsi="Arial" w:cs="Arial"/>
              </w:rPr>
              <w:t>18.10.2018</w:t>
            </w:r>
          </w:p>
        </w:tc>
        <w:tc>
          <w:tcPr>
            <w:tcW w:w="3686" w:type="dxa"/>
            <w:shd w:val="clear" w:color="auto" w:fill="auto"/>
          </w:tcPr>
          <w:p w:rsidR="0098484A" w:rsidRPr="0098484A" w:rsidRDefault="00270A02" w:rsidP="0098484A">
            <w:pPr>
              <w:spacing w:after="0" w:line="240" w:lineRule="auto"/>
              <w:rPr>
                <w:rFonts w:ascii="Arial" w:eastAsia="Calibri" w:hAnsi="Arial" w:cs="Arial"/>
              </w:rPr>
            </w:pPr>
            <w:r w:rsidRPr="00270A02">
              <w:rPr>
                <w:rFonts w:ascii="Arial" w:eastAsia="Calibri" w:hAnsi="Arial" w:cs="Arial"/>
              </w:rPr>
              <w:t>Review date changed to November 2023</w:t>
            </w:r>
          </w:p>
        </w:tc>
      </w:tr>
    </w:tbl>
    <w:p w:rsidR="0098484A" w:rsidRDefault="0098484A" w:rsidP="00270A02">
      <w:pPr>
        <w:ind w:right="-472"/>
      </w:pPr>
      <w:bookmarkStart w:id="0" w:name="_GoBack"/>
      <w:bookmarkEnd w:id="0"/>
    </w:p>
    <w:sectPr w:rsidR="0098484A" w:rsidSect="000D1668">
      <w:footerReference w:type="default" r:id="rId9"/>
      <w:pgSz w:w="11906" w:h="16838"/>
      <w:pgMar w:top="568"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02" w:rsidRDefault="00270A02" w:rsidP="00270A02">
      <w:pPr>
        <w:spacing w:after="0" w:line="240" w:lineRule="auto"/>
      </w:pPr>
      <w:r>
        <w:separator/>
      </w:r>
    </w:p>
  </w:endnote>
  <w:endnote w:type="continuationSeparator" w:id="0">
    <w:p w:rsidR="00270A02" w:rsidRDefault="00270A02" w:rsidP="0027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02" w:rsidRDefault="00270A02" w:rsidP="00270A02">
    <w:pPr>
      <w:pStyle w:val="Footer"/>
      <w:jc w:val="center"/>
    </w:pPr>
    <w:r>
      <w:t xml:space="preserve">                                                                 1                                                                v2                                                                                                                                                                                                                                   </w:t>
    </w:r>
  </w:p>
  <w:p w:rsidR="00270A02" w:rsidRDefault="0027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02" w:rsidRDefault="00270A02" w:rsidP="00270A02">
      <w:pPr>
        <w:spacing w:after="0" w:line="240" w:lineRule="auto"/>
      </w:pPr>
      <w:r>
        <w:separator/>
      </w:r>
    </w:p>
  </w:footnote>
  <w:footnote w:type="continuationSeparator" w:id="0">
    <w:p w:rsidR="00270A02" w:rsidRDefault="00270A02" w:rsidP="00270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8"/>
    <w:rsid w:val="000D1668"/>
    <w:rsid w:val="00270A02"/>
    <w:rsid w:val="0098484A"/>
    <w:rsid w:val="00D1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68"/>
    <w:rPr>
      <w:rFonts w:ascii="Tahoma" w:hAnsi="Tahoma" w:cs="Tahoma"/>
      <w:sz w:val="16"/>
      <w:szCs w:val="16"/>
    </w:rPr>
  </w:style>
  <w:style w:type="table" w:styleId="TableGrid">
    <w:name w:val="Table Grid"/>
    <w:basedOn w:val="TableNormal"/>
    <w:uiPriority w:val="59"/>
    <w:rsid w:val="000D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84A"/>
    <w:rPr>
      <w:color w:val="0000FF" w:themeColor="hyperlink"/>
      <w:u w:val="single"/>
    </w:rPr>
  </w:style>
  <w:style w:type="paragraph" w:styleId="Header">
    <w:name w:val="header"/>
    <w:basedOn w:val="Normal"/>
    <w:link w:val="HeaderChar"/>
    <w:uiPriority w:val="99"/>
    <w:unhideWhenUsed/>
    <w:rsid w:val="00270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A02"/>
  </w:style>
  <w:style w:type="paragraph" w:styleId="Footer">
    <w:name w:val="footer"/>
    <w:basedOn w:val="Normal"/>
    <w:link w:val="FooterChar"/>
    <w:uiPriority w:val="99"/>
    <w:unhideWhenUsed/>
    <w:rsid w:val="00270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68"/>
    <w:rPr>
      <w:rFonts w:ascii="Tahoma" w:hAnsi="Tahoma" w:cs="Tahoma"/>
      <w:sz w:val="16"/>
      <w:szCs w:val="16"/>
    </w:rPr>
  </w:style>
  <w:style w:type="table" w:styleId="TableGrid">
    <w:name w:val="Table Grid"/>
    <w:basedOn w:val="TableNormal"/>
    <w:uiPriority w:val="59"/>
    <w:rsid w:val="000D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84A"/>
    <w:rPr>
      <w:color w:val="0000FF" w:themeColor="hyperlink"/>
      <w:u w:val="single"/>
    </w:rPr>
  </w:style>
  <w:style w:type="paragraph" w:styleId="Header">
    <w:name w:val="header"/>
    <w:basedOn w:val="Normal"/>
    <w:link w:val="HeaderChar"/>
    <w:uiPriority w:val="99"/>
    <w:unhideWhenUsed/>
    <w:rsid w:val="00270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A02"/>
  </w:style>
  <w:style w:type="paragraph" w:styleId="Footer">
    <w:name w:val="footer"/>
    <w:basedOn w:val="Normal"/>
    <w:link w:val="FooterChar"/>
    <w:uiPriority w:val="99"/>
    <w:unhideWhenUsed/>
    <w:rsid w:val="00270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ccg.ifr@nhs.ne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Jacky</dc:creator>
  <cp:lastModifiedBy>Higgins Jacky</cp:lastModifiedBy>
  <cp:revision>1</cp:revision>
  <dcterms:created xsi:type="dcterms:W3CDTF">2018-10-25T11:18:00Z</dcterms:created>
  <dcterms:modified xsi:type="dcterms:W3CDTF">2018-10-25T11:54:00Z</dcterms:modified>
</cp:coreProperties>
</file>