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1B3" w:rsidRDefault="009E7CA3" w:rsidP="00E101B3">
      <w:r>
        <w:rPr>
          <w:rFonts w:ascii="Arial" w:hAnsi="Arial" w:cs="Arial"/>
          <w:b/>
          <w:noProof/>
          <w:sz w:val="28"/>
          <w:szCs w:val="28"/>
        </w:rPr>
        <w:drawing>
          <wp:anchor distT="0" distB="0" distL="114300" distR="114300" simplePos="0" relativeHeight="251659264" behindDoc="1" locked="0" layoutInCell="1" allowOverlap="1" wp14:anchorId="3A97DA38" wp14:editId="6E9B6D68">
            <wp:simplePos x="0" y="0"/>
            <wp:positionH relativeFrom="column">
              <wp:posOffset>3927977</wp:posOffset>
            </wp:positionH>
            <wp:positionV relativeFrom="paragraph">
              <wp:posOffset>-707656</wp:posOffset>
            </wp:positionV>
            <wp:extent cx="2934335" cy="1012825"/>
            <wp:effectExtent l="0" t="0" r="0" b="0"/>
            <wp:wrapNone/>
            <wp:docPr id="4" name="Picture 4" descr="NHS_G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S_GCC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4335" cy="1012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01B3" w:rsidRDefault="00E101B3" w:rsidP="00E101B3"/>
    <w:p w:rsidR="00E101B3" w:rsidRDefault="00E101B3" w:rsidP="00E101B3">
      <w:pPr>
        <w:jc w:val="right"/>
        <w:rPr>
          <w:rFonts w:ascii="Arial" w:hAnsi="Arial" w:cs="Arial"/>
          <w:b/>
          <w:sz w:val="28"/>
          <w:szCs w:val="28"/>
        </w:rPr>
      </w:pPr>
      <w:r w:rsidRPr="003A4435">
        <w:rPr>
          <w:rFonts w:ascii="Arial" w:hAnsi="Arial" w:cs="Arial"/>
          <w:b/>
          <w:sz w:val="28"/>
          <w:szCs w:val="28"/>
        </w:rPr>
        <w:t xml:space="preserve">Appendix </w:t>
      </w:r>
      <w:r w:rsidR="00CF7D71">
        <w:rPr>
          <w:rFonts w:ascii="Arial" w:hAnsi="Arial" w:cs="Arial"/>
          <w:b/>
          <w:sz w:val="28"/>
          <w:szCs w:val="28"/>
        </w:rPr>
        <w:t>1</w:t>
      </w:r>
    </w:p>
    <w:p w:rsidR="00E101B3" w:rsidRPr="003A4435" w:rsidRDefault="00E101B3" w:rsidP="00E101B3">
      <w:pPr>
        <w:jc w:val="right"/>
        <w:rPr>
          <w:rFonts w:ascii="Arial" w:hAnsi="Arial" w:cs="Arial"/>
          <w:b/>
          <w:sz w:val="28"/>
          <w:szCs w:val="28"/>
        </w:rPr>
      </w:pPr>
    </w:p>
    <w:p w:rsidR="00E101B3" w:rsidRPr="00417C81" w:rsidRDefault="00E101B3" w:rsidP="00E101B3">
      <w:pPr>
        <w:rPr>
          <w:rFonts w:ascii="Arial" w:hAnsi="Arial" w:cs="Arial"/>
          <w:b/>
          <w:sz w:val="48"/>
          <w:szCs w:val="48"/>
        </w:rPr>
      </w:pPr>
      <w:r>
        <w:rPr>
          <w:rFonts w:ascii="Arial" w:hAnsi="Arial" w:cs="Arial"/>
          <w:b/>
          <w:sz w:val="48"/>
          <w:szCs w:val="48"/>
        </w:rPr>
        <w:t>Experimental and Unproven Treatments Policy</w:t>
      </w:r>
    </w:p>
    <w:p w:rsidR="00E101B3" w:rsidRDefault="00E101B3" w:rsidP="00E101B3">
      <w:pPr>
        <w:pBdr>
          <w:bottom w:val="thinThickSmallGap" w:sz="24" w:space="1" w:color="auto"/>
        </w:pBdr>
        <w:rPr>
          <w:rFonts w:ascii="Arial" w:hAnsi="Arial" w:cs="Arial"/>
          <w:b/>
          <w:sz w:val="32"/>
          <w:szCs w:val="32"/>
        </w:rPr>
      </w:pPr>
    </w:p>
    <w:p w:rsidR="00E101B3" w:rsidRDefault="00E101B3" w:rsidP="00E101B3">
      <w:pPr>
        <w:jc w:val="center"/>
        <w:rPr>
          <w:rFonts w:ascii="Arial" w:hAnsi="Arial" w:cs="Arial"/>
          <w:b/>
          <w:sz w:val="32"/>
          <w:szCs w:val="32"/>
        </w:rPr>
      </w:pPr>
    </w:p>
    <w:p w:rsidR="00E101B3" w:rsidRDefault="00E101B3" w:rsidP="00E101B3">
      <w:pPr>
        <w:pStyle w:val="Header"/>
        <w:rPr>
          <w:rFonts w:ascii="Arial" w:hAnsi="Arial" w:cs="Arial"/>
          <w:b/>
          <w:sz w:val="28"/>
          <w:szCs w:val="28"/>
        </w:rPr>
      </w:pPr>
    </w:p>
    <w:tbl>
      <w:tblPr>
        <w:tblW w:w="10031" w:type="dxa"/>
        <w:tblLook w:val="01E0" w:firstRow="1" w:lastRow="1" w:firstColumn="1" w:lastColumn="1" w:noHBand="0" w:noVBand="0"/>
      </w:tblPr>
      <w:tblGrid>
        <w:gridCol w:w="1188"/>
        <w:gridCol w:w="8843"/>
      </w:tblGrid>
      <w:tr w:rsidR="00E101B3" w:rsidRPr="00F4007E" w:rsidTr="00C46EA6">
        <w:tc>
          <w:tcPr>
            <w:tcW w:w="1188" w:type="dxa"/>
          </w:tcPr>
          <w:p w:rsidR="00E101B3" w:rsidRPr="0036044F" w:rsidRDefault="00E101B3" w:rsidP="00C46EA6">
            <w:pPr>
              <w:jc w:val="both"/>
              <w:rPr>
                <w:rFonts w:ascii="Arial" w:hAnsi="Arial" w:cs="Arial"/>
                <w:b/>
              </w:rPr>
            </w:pPr>
            <w:r w:rsidRPr="0036044F">
              <w:rPr>
                <w:rFonts w:ascii="Arial" w:hAnsi="Arial" w:cs="Arial"/>
                <w:b/>
              </w:rPr>
              <w:t>1</w:t>
            </w:r>
          </w:p>
        </w:tc>
        <w:tc>
          <w:tcPr>
            <w:tcW w:w="8843" w:type="dxa"/>
          </w:tcPr>
          <w:p w:rsidR="00E101B3" w:rsidRPr="0036044F" w:rsidRDefault="00E101B3" w:rsidP="00C46EA6">
            <w:pPr>
              <w:jc w:val="both"/>
              <w:rPr>
                <w:rFonts w:ascii="Arial" w:hAnsi="Arial" w:cs="Arial"/>
                <w:b/>
              </w:rPr>
            </w:pPr>
            <w:r w:rsidRPr="0036044F">
              <w:rPr>
                <w:rFonts w:ascii="Arial" w:hAnsi="Arial" w:cs="Arial"/>
                <w:b/>
              </w:rPr>
              <w:t>The policy</w:t>
            </w:r>
          </w:p>
          <w:p w:rsidR="00E101B3" w:rsidRPr="0036044F" w:rsidRDefault="00E101B3" w:rsidP="00C46EA6">
            <w:pPr>
              <w:jc w:val="both"/>
              <w:rPr>
                <w:rFonts w:ascii="Arial" w:hAnsi="Arial" w:cs="Arial"/>
                <w:b/>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t>1.1</w:t>
            </w:r>
          </w:p>
        </w:tc>
        <w:tc>
          <w:tcPr>
            <w:tcW w:w="8843" w:type="dxa"/>
          </w:tcPr>
          <w:p w:rsidR="00E101B3" w:rsidRPr="0036044F" w:rsidRDefault="00E101B3" w:rsidP="00C46EA6">
            <w:pPr>
              <w:pStyle w:val="BodyText"/>
              <w:rPr>
                <w:rFonts w:ascii="Arial" w:hAnsi="Arial" w:cs="Arial"/>
                <w:sz w:val="24"/>
                <w:szCs w:val="24"/>
              </w:rPr>
            </w:pPr>
            <w:r w:rsidRPr="0036044F">
              <w:rPr>
                <w:rFonts w:ascii="Arial" w:hAnsi="Arial" w:cs="Arial"/>
                <w:sz w:val="24"/>
                <w:szCs w:val="24"/>
              </w:rPr>
              <w:t xml:space="preserve">This policy applies to any patient for whom the </w:t>
            </w:r>
            <w:r>
              <w:rPr>
                <w:rFonts w:ascii="Arial" w:hAnsi="Arial" w:cs="Arial"/>
                <w:sz w:val="24"/>
                <w:szCs w:val="24"/>
              </w:rPr>
              <w:t>CCG</w:t>
            </w:r>
            <w:r w:rsidRPr="0036044F">
              <w:rPr>
                <w:rFonts w:ascii="Arial" w:hAnsi="Arial" w:cs="Arial"/>
                <w:sz w:val="24"/>
                <w:szCs w:val="24"/>
              </w:rPr>
              <w:t xml:space="preserve"> is the Responsible Commissioner</w:t>
            </w:r>
            <w:r w:rsidRPr="0036044F">
              <w:rPr>
                <w:rFonts w:ascii="Arial" w:hAnsi="Arial" w:cs="Arial"/>
                <w:sz w:val="24"/>
                <w:szCs w:val="24"/>
                <w:lang w:val="en-GB"/>
              </w:rPr>
              <w:t>, e</w:t>
            </w:r>
            <w:proofErr w:type="spellStart"/>
            <w:r w:rsidRPr="0036044F">
              <w:rPr>
                <w:rFonts w:ascii="Arial" w:hAnsi="Arial" w:cs="Arial"/>
                <w:sz w:val="24"/>
                <w:szCs w:val="24"/>
              </w:rPr>
              <w:t>xcept</w:t>
            </w:r>
            <w:proofErr w:type="spellEnd"/>
            <w:r w:rsidRPr="0036044F">
              <w:rPr>
                <w:rFonts w:ascii="Arial" w:hAnsi="Arial" w:cs="Arial"/>
                <w:sz w:val="24"/>
                <w:szCs w:val="24"/>
              </w:rPr>
              <w:t xml:space="preserve"> as set out below:</w:t>
            </w:r>
          </w:p>
          <w:p w:rsidR="00E101B3" w:rsidRPr="0036044F" w:rsidRDefault="00E101B3" w:rsidP="00C46EA6">
            <w:pPr>
              <w:pStyle w:val="BodyText"/>
              <w:rPr>
                <w:rFonts w:ascii="Arial" w:hAnsi="Arial" w:cs="Arial"/>
                <w:sz w:val="24"/>
                <w:szCs w:val="24"/>
              </w:rPr>
            </w:pPr>
          </w:p>
          <w:p w:rsidR="00E101B3" w:rsidRPr="0036044F" w:rsidRDefault="00E101B3" w:rsidP="00E101B3">
            <w:pPr>
              <w:pStyle w:val="BodyText"/>
              <w:numPr>
                <w:ilvl w:val="0"/>
                <w:numId w:val="6"/>
              </w:numPr>
              <w:rPr>
                <w:rFonts w:ascii="Arial" w:hAnsi="Arial" w:cs="Arial"/>
                <w:sz w:val="24"/>
                <w:szCs w:val="24"/>
                <w:lang w:val="en-GB"/>
              </w:rPr>
            </w:pPr>
            <w:r w:rsidRPr="0036044F">
              <w:rPr>
                <w:rFonts w:ascii="Arial" w:hAnsi="Arial" w:cs="Arial"/>
                <w:sz w:val="24"/>
                <w:szCs w:val="24"/>
              </w:rPr>
              <w:t>treatments which are judged experimental or not to be of proven effectiveness will not routinely be funded; and</w:t>
            </w:r>
          </w:p>
          <w:p w:rsidR="00E101B3" w:rsidRPr="0036044F" w:rsidRDefault="00E101B3" w:rsidP="00E101B3">
            <w:pPr>
              <w:pStyle w:val="BodyText"/>
              <w:numPr>
                <w:ilvl w:val="0"/>
                <w:numId w:val="6"/>
              </w:numPr>
              <w:rPr>
                <w:rFonts w:ascii="Arial" w:hAnsi="Arial" w:cs="Arial"/>
                <w:sz w:val="24"/>
                <w:szCs w:val="24"/>
              </w:rPr>
            </w:pPr>
            <w:r w:rsidRPr="0036044F">
              <w:rPr>
                <w:rFonts w:ascii="Arial" w:hAnsi="Arial" w:cs="Arial"/>
                <w:sz w:val="24"/>
                <w:szCs w:val="24"/>
              </w:rPr>
              <w:t>funding for individual patients or groups of patients within poorly designed trials will not be supported.</w:t>
            </w:r>
          </w:p>
          <w:p w:rsidR="00E101B3" w:rsidRPr="0036044F" w:rsidRDefault="00E101B3" w:rsidP="00C46EA6">
            <w:pPr>
              <w:jc w:val="both"/>
              <w:rPr>
                <w:rFonts w:ascii="Arial" w:hAnsi="Arial" w:cs="Arial"/>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t>1.2</w:t>
            </w:r>
          </w:p>
        </w:tc>
        <w:tc>
          <w:tcPr>
            <w:tcW w:w="8843" w:type="dxa"/>
          </w:tcPr>
          <w:p w:rsidR="00E101B3" w:rsidRPr="0036044F" w:rsidRDefault="00E101B3" w:rsidP="00C46EA6">
            <w:pPr>
              <w:pStyle w:val="BodyText"/>
              <w:rPr>
                <w:rFonts w:ascii="Arial" w:hAnsi="Arial" w:cs="Arial"/>
                <w:sz w:val="24"/>
                <w:szCs w:val="24"/>
              </w:rPr>
            </w:pPr>
            <w:r w:rsidRPr="0036044F">
              <w:rPr>
                <w:rFonts w:ascii="Arial" w:hAnsi="Arial" w:cs="Arial"/>
                <w:sz w:val="24"/>
                <w:szCs w:val="24"/>
              </w:rPr>
              <w:t xml:space="preserve">The </w:t>
            </w:r>
            <w:r>
              <w:rPr>
                <w:rFonts w:ascii="Arial" w:hAnsi="Arial" w:cs="Arial"/>
                <w:sz w:val="24"/>
                <w:szCs w:val="24"/>
              </w:rPr>
              <w:t>CCG</w:t>
            </w:r>
            <w:r w:rsidRPr="0036044F">
              <w:rPr>
                <w:rFonts w:ascii="Arial" w:hAnsi="Arial" w:cs="Arial"/>
                <w:sz w:val="24"/>
                <w:szCs w:val="24"/>
              </w:rPr>
              <w:t xml:space="preserve"> will strive to fulfil the requirements placed upon </w:t>
            </w:r>
            <w:r>
              <w:rPr>
                <w:rFonts w:ascii="Arial" w:hAnsi="Arial" w:cs="Arial"/>
                <w:sz w:val="24"/>
                <w:szCs w:val="24"/>
              </w:rPr>
              <w:t>CCG</w:t>
            </w:r>
            <w:r w:rsidRPr="0036044F">
              <w:rPr>
                <w:rFonts w:ascii="Arial" w:hAnsi="Arial" w:cs="Arial"/>
                <w:sz w:val="24"/>
                <w:szCs w:val="24"/>
              </w:rPr>
              <w:t>s as set out in the Department of Health letter to the NHS</w:t>
            </w:r>
            <w:r w:rsidR="00CC76F8">
              <w:rPr>
                <w:rFonts w:ascii="Arial" w:hAnsi="Arial" w:cs="Arial"/>
                <w:sz w:val="24"/>
                <w:szCs w:val="24"/>
                <w:lang w:val="en-GB"/>
              </w:rPr>
              <w:t xml:space="preserve"> (</w:t>
            </w:r>
            <w:r w:rsidR="00332111">
              <w:rPr>
                <w:rFonts w:ascii="Arial" w:hAnsi="Arial" w:cs="Arial"/>
                <w:sz w:val="24"/>
                <w:szCs w:val="24"/>
                <w:lang w:val="en-GB"/>
              </w:rPr>
              <w:t>9 July 2009</w:t>
            </w:r>
            <w:r w:rsidR="00CC76F8">
              <w:rPr>
                <w:rFonts w:ascii="Arial" w:hAnsi="Arial" w:cs="Arial"/>
                <w:sz w:val="24"/>
                <w:szCs w:val="24"/>
                <w:lang w:val="en-GB"/>
              </w:rPr>
              <w:t>)</w:t>
            </w:r>
            <w:r w:rsidRPr="0036044F">
              <w:rPr>
                <w:rFonts w:ascii="Arial" w:hAnsi="Arial" w:cs="Arial"/>
                <w:sz w:val="24"/>
                <w:szCs w:val="24"/>
              </w:rPr>
              <w:t xml:space="preserve"> (Gateway number 12153),  provided that the </w:t>
            </w:r>
            <w:r>
              <w:rPr>
                <w:rFonts w:ascii="Arial" w:hAnsi="Arial" w:cs="Arial"/>
                <w:sz w:val="24"/>
                <w:szCs w:val="24"/>
              </w:rPr>
              <w:t>CCG</w:t>
            </w:r>
            <w:r w:rsidRPr="0036044F">
              <w:rPr>
                <w:rFonts w:ascii="Arial" w:hAnsi="Arial" w:cs="Arial"/>
                <w:sz w:val="24"/>
                <w:szCs w:val="24"/>
              </w:rPr>
              <w:t xml:space="preserve"> is satisfied as to affordability and has taken account of competing demands upon its budget. </w:t>
            </w:r>
          </w:p>
          <w:p w:rsidR="00E101B3" w:rsidRPr="0036044F" w:rsidRDefault="00E101B3" w:rsidP="00C46EA6">
            <w:pPr>
              <w:jc w:val="both"/>
              <w:rPr>
                <w:rFonts w:ascii="Arial" w:hAnsi="Arial" w:cs="Arial"/>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t>1.3</w:t>
            </w:r>
          </w:p>
        </w:tc>
        <w:tc>
          <w:tcPr>
            <w:tcW w:w="8843" w:type="dxa"/>
          </w:tcPr>
          <w:p w:rsidR="00E101B3" w:rsidRPr="0036044F" w:rsidRDefault="00E101B3" w:rsidP="00C46EA6">
            <w:pPr>
              <w:pStyle w:val="BodyText"/>
              <w:rPr>
                <w:rFonts w:ascii="Arial" w:hAnsi="Arial" w:cs="Arial"/>
                <w:sz w:val="24"/>
                <w:szCs w:val="24"/>
              </w:rPr>
            </w:pPr>
            <w:r w:rsidRPr="0036044F">
              <w:rPr>
                <w:rFonts w:ascii="Arial" w:hAnsi="Arial" w:cs="Arial"/>
                <w:sz w:val="24"/>
                <w:szCs w:val="24"/>
              </w:rPr>
              <w:t xml:space="preserve">The </w:t>
            </w:r>
            <w:r>
              <w:rPr>
                <w:rFonts w:ascii="Arial" w:hAnsi="Arial" w:cs="Arial"/>
                <w:sz w:val="24"/>
                <w:szCs w:val="24"/>
              </w:rPr>
              <w:t>CCG</w:t>
            </w:r>
            <w:r w:rsidRPr="0036044F">
              <w:rPr>
                <w:rFonts w:ascii="Arial" w:hAnsi="Arial" w:cs="Arial"/>
                <w:sz w:val="24"/>
                <w:szCs w:val="24"/>
              </w:rPr>
              <w:t xml:space="preserve"> will be prepared to consider funding a clinical trial or to sponsor a patient into an existing trial but funding cannot be guaranteed.  The ability of the </w:t>
            </w:r>
            <w:r>
              <w:rPr>
                <w:rFonts w:ascii="Arial" w:hAnsi="Arial" w:cs="Arial"/>
                <w:sz w:val="24"/>
                <w:szCs w:val="24"/>
              </w:rPr>
              <w:t>CCG</w:t>
            </w:r>
            <w:r w:rsidRPr="0036044F">
              <w:rPr>
                <w:rFonts w:ascii="Arial" w:hAnsi="Arial" w:cs="Arial"/>
                <w:sz w:val="24"/>
                <w:szCs w:val="24"/>
              </w:rPr>
              <w:t xml:space="preserve"> to support R&amp;D is influenced by:</w:t>
            </w:r>
          </w:p>
          <w:p w:rsidR="00E101B3" w:rsidRPr="0036044F" w:rsidRDefault="00E101B3" w:rsidP="00C46EA6">
            <w:pPr>
              <w:pStyle w:val="BodyText"/>
              <w:rPr>
                <w:rFonts w:ascii="Arial" w:hAnsi="Arial" w:cs="Arial"/>
                <w:sz w:val="24"/>
                <w:szCs w:val="24"/>
              </w:rPr>
            </w:pPr>
          </w:p>
          <w:p w:rsidR="00E101B3" w:rsidRPr="0036044F" w:rsidRDefault="00E101B3" w:rsidP="00E101B3">
            <w:pPr>
              <w:pStyle w:val="BodyText"/>
              <w:numPr>
                <w:ilvl w:val="0"/>
                <w:numId w:val="7"/>
              </w:numPr>
              <w:jc w:val="left"/>
              <w:rPr>
                <w:rFonts w:ascii="Arial" w:hAnsi="Arial" w:cs="Arial"/>
                <w:sz w:val="24"/>
                <w:szCs w:val="24"/>
              </w:rPr>
            </w:pPr>
            <w:r w:rsidRPr="0036044F">
              <w:rPr>
                <w:rFonts w:ascii="Arial" w:hAnsi="Arial" w:cs="Arial"/>
                <w:sz w:val="24"/>
                <w:szCs w:val="24"/>
              </w:rPr>
              <w:t>Financial constraints. Any trial has to be prioritised against competing needs.</w:t>
            </w:r>
          </w:p>
          <w:p w:rsidR="00E101B3" w:rsidRPr="0036044F" w:rsidRDefault="00E101B3" w:rsidP="00C46EA6">
            <w:pPr>
              <w:pStyle w:val="BodyText"/>
              <w:ind w:left="720"/>
              <w:jc w:val="left"/>
              <w:rPr>
                <w:rFonts w:ascii="Arial" w:hAnsi="Arial" w:cs="Arial"/>
                <w:sz w:val="24"/>
                <w:szCs w:val="24"/>
              </w:rPr>
            </w:pPr>
          </w:p>
          <w:p w:rsidR="00E101B3" w:rsidRPr="0036044F" w:rsidRDefault="00E101B3" w:rsidP="00E101B3">
            <w:pPr>
              <w:pStyle w:val="BodyText"/>
              <w:numPr>
                <w:ilvl w:val="0"/>
                <w:numId w:val="3"/>
              </w:numPr>
              <w:tabs>
                <w:tab w:val="clear" w:pos="360"/>
                <w:tab w:val="num" w:pos="1080"/>
              </w:tabs>
              <w:ind w:left="1080"/>
              <w:jc w:val="left"/>
              <w:rPr>
                <w:rFonts w:ascii="Arial" w:hAnsi="Arial" w:cs="Arial"/>
                <w:sz w:val="24"/>
                <w:szCs w:val="24"/>
              </w:rPr>
            </w:pPr>
            <w:r w:rsidRPr="0036044F">
              <w:rPr>
                <w:rFonts w:ascii="Arial" w:hAnsi="Arial" w:cs="Arial"/>
                <w:sz w:val="24"/>
                <w:szCs w:val="24"/>
              </w:rPr>
              <w:t>The research priorities of the clinical community. However desirable a trial, clinical or R&amp;D support, there can be no guarantee that a given evaluation is a research priority for the clinical and R&amp;D community, on whom commissioners are dependent on delivering a trial.</w:t>
            </w:r>
            <w:r w:rsidRPr="0036044F" w:rsidDel="001B1EB9">
              <w:rPr>
                <w:rFonts w:ascii="Arial" w:hAnsi="Arial" w:cs="Arial"/>
                <w:sz w:val="24"/>
                <w:szCs w:val="24"/>
              </w:rPr>
              <w:t xml:space="preserve"> </w:t>
            </w:r>
            <w:r w:rsidRPr="0036044F">
              <w:rPr>
                <w:rFonts w:ascii="Arial" w:hAnsi="Arial" w:cs="Arial"/>
                <w:sz w:val="24"/>
                <w:szCs w:val="24"/>
              </w:rPr>
              <w:t xml:space="preserve"> </w:t>
            </w:r>
          </w:p>
          <w:p w:rsidR="00E101B3" w:rsidRPr="0036044F" w:rsidRDefault="00E101B3" w:rsidP="00C46EA6">
            <w:pPr>
              <w:pStyle w:val="BodyText"/>
              <w:tabs>
                <w:tab w:val="num" w:pos="1134"/>
              </w:tabs>
              <w:ind w:left="1854"/>
              <w:jc w:val="left"/>
              <w:rPr>
                <w:rFonts w:ascii="Arial" w:hAnsi="Arial" w:cs="Arial"/>
                <w:sz w:val="24"/>
                <w:szCs w:val="24"/>
              </w:rPr>
            </w:pPr>
          </w:p>
          <w:p w:rsidR="00E101B3" w:rsidRPr="0036044F" w:rsidRDefault="00E101B3" w:rsidP="00E101B3">
            <w:pPr>
              <w:pStyle w:val="BodyText"/>
              <w:numPr>
                <w:ilvl w:val="0"/>
                <w:numId w:val="3"/>
              </w:numPr>
              <w:tabs>
                <w:tab w:val="clear" w:pos="360"/>
                <w:tab w:val="num" w:pos="1080"/>
              </w:tabs>
              <w:ind w:left="1080"/>
              <w:jc w:val="left"/>
              <w:rPr>
                <w:rFonts w:ascii="Arial" w:hAnsi="Arial" w:cs="Arial"/>
                <w:sz w:val="24"/>
                <w:szCs w:val="24"/>
              </w:rPr>
            </w:pPr>
            <w:r w:rsidRPr="0036044F">
              <w:rPr>
                <w:rFonts w:ascii="Arial" w:hAnsi="Arial" w:cs="Arial"/>
                <w:sz w:val="24"/>
                <w:szCs w:val="24"/>
              </w:rPr>
              <w:t xml:space="preserve">Capacity constraints within the </w:t>
            </w:r>
            <w:r>
              <w:rPr>
                <w:rFonts w:ascii="Arial" w:hAnsi="Arial" w:cs="Arial"/>
                <w:sz w:val="24"/>
                <w:szCs w:val="24"/>
              </w:rPr>
              <w:t>CCG</w:t>
            </w:r>
            <w:r w:rsidRPr="0036044F">
              <w:rPr>
                <w:rFonts w:ascii="Arial" w:hAnsi="Arial" w:cs="Arial"/>
                <w:sz w:val="24"/>
                <w:szCs w:val="24"/>
              </w:rPr>
              <w:t xml:space="preserve">’s team for those trials that have to be fully commissioned by the </w:t>
            </w:r>
            <w:r>
              <w:rPr>
                <w:rFonts w:ascii="Arial" w:hAnsi="Arial" w:cs="Arial"/>
                <w:sz w:val="24"/>
                <w:szCs w:val="24"/>
              </w:rPr>
              <w:t>CCG</w:t>
            </w:r>
            <w:r w:rsidRPr="0036044F">
              <w:rPr>
                <w:rFonts w:ascii="Arial" w:hAnsi="Arial" w:cs="Arial"/>
                <w:sz w:val="24"/>
                <w:szCs w:val="24"/>
                <w:lang w:val="en-GB"/>
              </w:rPr>
              <w:t>.</w:t>
            </w:r>
          </w:p>
          <w:p w:rsidR="00E101B3" w:rsidRPr="0036044F" w:rsidRDefault="00E101B3" w:rsidP="00C46EA6">
            <w:pPr>
              <w:jc w:val="both"/>
              <w:rPr>
                <w:rFonts w:ascii="Arial" w:hAnsi="Arial" w:cs="Arial"/>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t>1.4</w:t>
            </w:r>
          </w:p>
        </w:tc>
        <w:tc>
          <w:tcPr>
            <w:tcW w:w="8843" w:type="dxa"/>
          </w:tcPr>
          <w:p w:rsidR="00E101B3" w:rsidRPr="0036044F" w:rsidRDefault="00E101B3" w:rsidP="00C46EA6">
            <w:pPr>
              <w:pStyle w:val="BodyText"/>
              <w:rPr>
                <w:rFonts w:ascii="Arial" w:hAnsi="Arial" w:cs="Arial"/>
                <w:sz w:val="24"/>
                <w:szCs w:val="24"/>
              </w:rPr>
            </w:pPr>
            <w:bookmarkStart w:id="0" w:name="_Ref224367697"/>
            <w:r w:rsidRPr="0036044F">
              <w:rPr>
                <w:rFonts w:ascii="Arial" w:hAnsi="Arial" w:cs="Arial"/>
                <w:sz w:val="24"/>
                <w:szCs w:val="24"/>
              </w:rPr>
              <w:t xml:space="preserve">The </w:t>
            </w:r>
            <w:r>
              <w:rPr>
                <w:rFonts w:ascii="Arial" w:hAnsi="Arial" w:cs="Arial"/>
                <w:sz w:val="24"/>
                <w:szCs w:val="24"/>
              </w:rPr>
              <w:t>CCG</w:t>
            </w:r>
            <w:r w:rsidRPr="0036044F">
              <w:rPr>
                <w:rFonts w:ascii="Arial" w:hAnsi="Arial" w:cs="Arial"/>
                <w:sz w:val="24"/>
                <w:szCs w:val="24"/>
              </w:rPr>
              <w:t xml:space="preserve"> will give consideration</w:t>
            </w:r>
            <w:r w:rsidR="0035005F">
              <w:rPr>
                <w:rFonts w:ascii="Arial" w:hAnsi="Arial" w:cs="Arial"/>
                <w:sz w:val="24"/>
                <w:szCs w:val="24"/>
                <w:lang w:val="en-GB"/>
              </w:rPr>
              <w:t xml:space="preserve">, within its level of commissioning responsibility </w:t>
            </w:r>
            <w:proofErr w:type="spellStart"/>
            <w:r w:rsidR="0035005F">
              <w:rPr>
                <w:rFonts w:ascii="Arial" w:hAnsi="Arial" w:cs="Arial"/>
                <w:sz w:val="24"/>
                <w:szCs w:val="24"/>
                <w:lang w:val="en-GB"/>
              </w:rPr>
              <w:t>ie</w:t>
            </w:r>
            <w:proofErr w:type="spellEnd"/>
            <w:r w:rsidR="0035005F">
              <w:rPr>
                <w:rFonts w:ascii="Arial" w:hAnsi="Arial" w:cs="Arial"/>
                <w:sz w:val="24"/>
                <w:szCs w:val="24"/>
                <w:lang w:val="en-GB"/>
              </w:rPr>
              <w:t xml:space="preserve"> not for specialised and rare conditions that should be considered the remit of NHS England Specialised Commissioning,</w:t>
            </w:r>
            <w:r w:rsidRPr="0036044F">
              <w:rPr>
                <w:rFonts w:ascii="Arial" w:hAnsi="Arial" w:cs="Arial"/>
                <w:sz w:val="24"/>
                <w:szCs w:val="24"/>
              </w:rPr>
              <w:t xml:space="preserve"> to supporting experimental treatment or off label use for rare clinical situations for which good quality clinical trials are considered impossible. These will be considered under the individual funding request category: </w:t>
            </w:r>
            <w:r w:rsidRPr="0036044F">
              <w:rPr>
                <w:rFonts w:ascii="Arial" w:hAnsi="Arial" w:cs="Arial"/>
                <w:i/>
                <w:sz w:val="24"/>
                <w:szCs w:val="24"/>
              </w:rPr>
              <w:t>individual requests</w:t>
            </w:r>
            <w:r w:rsidRPr="0036044F">
              <w:rPr>
                <w:rFonts w:ascii="Arial" w:hAnsi="Arial" w:cs="Arial"/>
                <w:sz w:val="24"/>
                <w:szCs w:val="24"/>
              </w:rPr>
              <w:t xml:space="preserve"> (see Commissioning Policy 09: Individual Funding Requests)  These will be identified on the basis of:</w:t>
            </w:r>
            <w:bookmarkEnd w:id="0"/>
          </w:p>
          <w:p w:rsidR="00E101B3" w:rsidRPr="0036044F" w:rsidRDefault="00E101B3" w:rsidP="00C46EA6">
            <w:pPr>
              <w:tabs>
                <w:tab w:val="num" w:pos="1134"/>
              </w:tabs>
              <w:ind w:left="1134" w:hanging="850"/>
              <w:rPr>
                <w:rFonts w:ascii="Arial" w:hAnsi="Arial" w:cs="Arial"/>
              </w:rPr>
            </w:pPr>
          </w:p>
          <w:p w:rsidR="00E101B3" w:rsidRPr="0036044F" w:rsidRDefault="00E101B3" w:rsidP="00E101B3">
            <w:pPr>
              <w:numPr>
                <w:ilvl w:val="0"/>
                <w:numId w:val="2"/>
              </w:numPr>
              <w:ind w:hanging="306"/>
              <w:rPr>
                <w:rFonts w:ascii="Arial" w:hAnsi="Arial" w:cs="Arial"/>
              </w:rPr>
            </w:pPr>
            <w:r w:rsidRPr="0036044F">
              <w:rPr>
                <w:rFonts w:ascii="Arial" w:hAnsi="Arial" w:cs="Arial"/>
              </w:rPr>
              <w:lastRenderedPageBreak/>
              <w:t xml:space="preserve">the incidence of the clinical condition / circumstance; </w:t>
            </w:r>
          </w:p>
          <w:p w:rsidR="00E101B3" w:rsidRPr="0036044F" w:rsidRDefault="00E101B3" w:rsidP="00E101B3">
            <w:pPr>
              <w:numPr>
                <w:ilvl w:val="0"/>
                <w:numId w:val="2"/>
              </w:numPr>
              <w:ind w:hanging="306"/>
              <w:rPr>
                <w:rFonts w:ascii="Arial" w:hAnsi="Arial" w:cs="Arial"/>
              </w:rPr>
            </w:pPr>
            <w:r w:rsidRPr="0036044F">
              <w:rPr>
                <w:rFonts w:ascii="Arial" w:hAnsi="Arial" w:cs="Arial"/>
              </w:rPr>
              <w:t xml:space="preserve">the nature of the intervention; </w:t>
            </w:r>
          </w:p>
          <w:p w:rsidR="00E101B3" w:rsidRPr="0036044F" w:rsidRDefault="00E101B3" w:rsidP="00E101B3">
            <w:pPr>
              <w:numPr>
                <w:ilvl w:val="0"/>
                <w:numId w:val="2"/>
              </w:numPr>
              <w:ind w:hanging="306"/>
              <w:rPr>
                <w:rFonts w:ascii="Arial" w:hAnsi="Arial" w:cs="Arial"/>
              </w:rPr>
            </w:pPr>
            <w:proofErr w:type="gramStart"/>
            <w:r w:rsidRPr="0036044F">
              <w:rPr>
                <w:rFonts w:ascii="Arial" w:hAnsi="Arial" w:cs="Arial"/>
              </w:rPr>
              <w:t>the</w:t>
            </w:r>
            <w:proofErr w:type="gramEnd"/>
            <w:r w:rsidRPr="0036044F">
              <w:rPr>
                <w:rFonts w:ascii="Arial" w:hAnsi="Arial" w:cs="Arial"/>
              </w:rPr>
              <w:t xml:space="preserve"> nature of the clinical research community.</w:t>
            </w:r>
          </w:p>
          <w:p w:rsidR="00E101B3" w:rsidRPr="0036044F" w:rsidRDefault="00E101B3" w:rsidP="00C46EA6">
            <w:pPr>
              <w:jc w:val="both"/>
              <w:rPr>
                <w:rFonts w:ascii="Arial" w:hAnsi="Arial" w:cs="Arial"/>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lastRenderedPageBreak/>
              <w:t>1.5</w:t>
            </w:r>
          </w:p>
        </w:tc>
        <w:tc>
          <w:tcPr>
            <w:tcW w:w="8843" w:type="dxa"/>
          </w:tcPr>
          <w:p w:rsidR="00E101B3" w:rsidRPr="0036044F" w:rsidRDefault="00E101B3" w:rsidP="00C46EA6">
            <w:pPr>
              <w:pStyle w:val="BodyText"/>
              <w:rPr>
                <w:rFonts w:ascii="Arial" w:hAnsi="Arial" w:cs="Arial"/>
                <w:sz w:val="24"/>
                <w:szCs w:val="24"/>
              </w:rPr>
            </w:pPr>
            <w:r w:rsidRPr="0036044F">
              <w:rPr>
                <w:rFonts w:ascii="Arial" w:hAnsi="Arial" w:cs="Arial"/>
                <w:sz w:val="24"/>
                <w:szCs w:val="24"/>
              </w:rPr>
              <w:t xml:space="preserve">When a case has been identified under paragraph </w:t>
            </w:r>
            <w:r w:rsidRPr="0036044F">
              <w:rPr>
                <w:rFonts w:ascii="Arial" w:hAnsi="Arial" w:cs="Arial"/>
                <w:sz w:val="24"/>
                <w:szCs w:val="24"/>
                <w:lang w:val="en-GB"/>
              </w:rPr>
              <w:t>1.4</w:t>
            </w:r>
            <w:r w:rsidRPr="0036044F">
              <w:rPr>
                <w:rFonts w:ascii="Arial" w:hAnsi="Arial" w:cs="Arial"/>
                <w:sz w:val="24"/>
                <w:szCs w:val="24"/>
              </w:rPr>
              <w:t xml:space="preserve"> the </w:t>
            </w:r>
            <w:r>
              <w:rPr>
                <w:rFonts w:ascii="Arial" w:hAnsi="Arial" w:cs="Arial"/>
                <w:sz w:val="24"/>
                <w:szCs w:val="24"/>
              </w:rPr>
              <w:t>CCG</w:t>
            </w:r>
            <w:r w:rsidRPr="0036044F">
              <w:rPr>
                <w:rFonts w:ascii="Arial" w:hAnsi="Arial" w:cs="Arial"/>
                <w:sz w:val="24"/>
                <w:szCs w:val="24"/>
              </w:rPr>
              <w:t xml:space="preserve"> will consider the following: </w:t>
            </w:r>
          </w:p>
          <w:p w:rsidR="00E101B3" w:rsidRPr="0036044F" w:rsidRDefault="00E101B3" w:rsidP="00C46EA6">
            <w:pPr>
              <w:pStyle w:val="BodyText"/>
              <w:rPr>
                <w:rFonts w:ascii="Arial" w:hAnsi="Arial" w:cs="Arial"/>
                <w:sz w:val="24"/>
                <w:szCs w:val="24"/>
              </w:rPr>
            </w:pPr>
          </w:p>
          <w:p w:rsidR="00E101B3" w:rsidRPr="0036044F" w:rsidRDefault="00E101B3" w:rsidP="00E101B3">
            <w:pPr>
              <w:numPr>
                <w:ilvl w:val="0"/>
                <w:numId w:val="1"/>
              </w:numPr>
              <w:rPr>
                <w:rFonts w:ascii="Arial" w:hAnsi="Arial" w:cs="Arial"/>
              </w:rPr>
            </w:pPr>
            <w:r w:rsidRPr="0036044F">
              <w:rPr>
                <w:rFonts w:ascii="Arial" w:hAnsi="Arial" w:cs="Arial"/>
              </w:rPr>
              <w:t>the potential benefit and risks of the treatment;</w:t>
            </w:r>
          </w:p>
          <w:p w:rsidR="00E101B3" w:rsidRPr="0036044F" w:rsidRDefault="00E101B3" w:rsidP="00E101B3">
            <w:pPr>
              <w:numPr>
                <w:ilvl w:val="0"/>
                <w:numId w:val="1"/>
              </w:numPr>
              <w:rPr>
                <w:rFonts w:ascii="Arial" w:hAnsi="Arial" w:cs="Arial"/>
              </w:rPr>
            </w:pPr>
            <w:r w:rsidRPr="0036044F">
              <w:rPr>
                <w:rFonts w:ascii="Arial" w:hAnsi="Arial" w:cs="Arial"/>
              </w:rPr>
              <w:t>the biological plausibility of benefit based on other evidence;</w:t>
            </w:r>
          </w:p>
          <w:p w:rsidR="00E101B3" w:rsidRPr="0036044F" w:rsidRDefault="00E101B3" w:rsidP="00E101B3">
            <w:pPr>
              <w:numPr>
                <w:ilvl w:val="0"/>
                <w:numId w:val="1"/>
              </w:numPr>
              <w:rPr>
                <w:rFonts w:ascii="Arial" w:hAnsi="Arial" w:cs="Arial"/>
              </w:rPr>
            </w:pPr>
            <w:r w:rsidRPr="0036044F">
              <w:rPr>
                <w:rFonts w:ascii="Arial" w:hAnsi="Arial" w:cs="Arial"/>
              </w:rPr>
              <w:t>an assessment of value for money;</w:t>
            </w:r>
          </w:p>
          <w:p w:rsidR="00E101B3" w:rsidRPr="0036044F" w:rsidRDefault="00E101B3" w:rsidP="00E101B3">
            <w:pPr>
              <w:numPr>
                <w:ilvl w:val="0"/>
                <w:numId w:val="1"/>
              </w:numPr>
              <w:rPr>
                <w:rFonts w:ascii="Arial" w:hAnsi="Arial" w:cs="Arial"/>
              </w:rPr>
            </w:pPr>
            <w:proofErr w:type="gramStart"/>
            <w:r w:rsidRPr="0036044F">
              <w:rPr>
                <w:rFonts w:ascii="Arial" w:hAnsi="Arial" w:cs="Arial"/>
              </w:rPr>
              <w:t>the</w:t>
            </w:r>
            <w:proofErr w:type="gramEnd"/>
            <w:r w:rsidRPr="0036044F">
              <w:rPr>
                <w:rFonts w:ascii="Arial" w:hAnsi="Arial" w:cs="Arial"/>
              </w:rPr>
              <w:t xml:space="preserve"> priority of the patient’s needs vis-à-vis other competing demands. </w:t>
            </w:r>
          </w:p>
          <w:p w:rsidR="00E101B3" w:rsidRPr="0036044F" w:rsidRDefault="00E101B3" w:rsidP="00C46EA6">
            <w:pPr>
              <w:jc w:val="both"/>
              <w:rPr>
                <w:rFonts w:ascii="Arial" w:hAnsi="Arial" w:cs="Arial"/>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t>1.6</w:t>
            </w:r>
          </w:p>
        </w:tc>
        <w:tc>
          <w:tcPr>
            <w:tcW w:w="8843" w:type="dxa"/>
          </w:tcPr>
          <w:p w:rsidR="00E101B3" w:rsidRPr="0036044F" w:rsidRDefault="00E101B3" w:rsidP="00C46EA6">
            <w:pPr>
              <w:pStyle w:val="BodyText"/>
              <w:rPr>
                <w:rFonts w:ascii="Arial" w:hAnsi="Arial" w:cs="Arial"/>
                <w:sz w:val="24"/>
                <w:szCs w:val="24"/>
              </w:rPr>
            </w:pPr>
            <w:r w:rsidRPr="0036044F">
              <w:rPr>
                <w:rFonts w:ascii="Arial" w:hAnsi="Arial" w:cs="Arial"/>
                <w:sz w:val="24"/>
                <w:szCs w:val="24"/>
              </w:rPr>
              <w:t>The clinician will be expected to provide as much information as possible about the treatment, relevant research upon which the claim for biological plausibility of the treatment is based, and costs, as well as clinically relevant information on the patient. In addition, the clinician will identify the clinical markers and clinical outcomes that will be monitored to assess treatment response.</w:t>
            </w:r>
          </w:p>
          <w:p w:rsidR="00E101B3" w:rsidRPr="0036044F" w:rsidRDefault="00E101B3" w:rsidP="00C46EA6">
            <w:pPr>
              <w:jc w:val="both"/>
              <w:rPr>
                <w:rFonts w:ascii="Arial" w:hAnsi="Arial" w:cs="Arial"/>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t>1.7</w:t>
            </w:r>
          </w:p>
        </w:tc>
        <w:tc>
          <w:tcPr>
            <w:tcW w:w="8843" w:type="dxa"/>
          </w:tcPr>
          <w:p w:rsidR="00E101B3" w:rsidRPr="0036044F" w:rsidRDefault="00E101B3" w:rsidP="00C46EA6">
            <w:pPr>
              <w:pStyle w:val="BodyText"/>
              <w:rPr>
                <w:rFonts w:ascii="Arial" w:hAnsi="Arial" w:cs="Arial"/>
                <w:sz w:val="24"/>
                <w:szCs w:val="24"/>
              </w:rPr>
            </w:pPr>
            <w:r w:rsidRPr="0036044F">
              <w:rPr>
                <w:rFonts w:ascii="Arial" w:hAnsi="Arial" w:cs="Arial"/>
                <w:sz w:val="24"/>
                <w:szCs w:val="24"/>
              </w:rPr>
              <w:t xml:space="preserve">When a case has been identified under paragraph </w:t>
            </w:r>
            <w:r>
              <w:rPr>
                <w:rFonts w:ascii="Arial" w:hAnsi="Arial" w:cs="Arial"/>
                <w:sz w:val="24"/>
                <w:szCs w:val="24"/>
              </w:rPr>
              <w:t xml:space="preserve">1.4 </w:t>
            </w:r>
            <w:r w:rsidRPr="0036044F">
              <w:rPr>
                <w:rFonts w:ascii="Arial" w:hAnsi="Arial" w:cs="Arial"/>
                <w:sz w:val="24"/>
                <w:szCs w:val="24"/>
              </w:rPr>
              <w:t xml:space="preserve"> the funding options which the </w:t>
            </w:r>
            <w:r>
              <w:rPr>
                <w:rFonts w:ascii="Arial" w:hAnsi="Arial" w:cs="Arial"/>
                <w:sz w:val="24"/>
                <w:szCs w:val="24"/>
              </w:rPr>
              <w:t>CCG</w:t>
            </w:r>
            <w:r w:rsidRPr="0036044F">
              <w:rPr>
                <w:rFonts w:ascii="Arial" w:hAnsi="Arial" w:cs="Arial"/>
                <w:sz w:val="24"/>
                <w:szCs w:val="24"/>
              </w:rPr>
              <w:t xml:space="preserve"> will consider are: </w:t>
            </w:r>
          </w:p>
          <w:p w:rsidR="00E101B3" w:rsidRPr="0036044F" w:rsidRDefault="00E101B3" w:rsidP="00C46EA6">
            <w:pPr>
              <w:pStyle w:val="BodyText"/>
              <w:rPr>
                <w:rFonts w:ascii="Arial" w:hAnsi="Arial" w:cs="Arial"/>
                <w:sz w:val="24"/>
                <w:szCs w:val="24"/>
              </w:rPr>
            </w:pPr>
          </w:p>
          <w:p w:rsidR="00E101B3" w:rsidRPr="0036044F" w:rsidRDefault="00E101B3" w:rsidP="00E101B3">
            <w:pPr>
              <w:numPr>
                <w:ilvl w:val="0"/>
                <w:numId w:val="4"/>
              </w:numPr>
              <w:tabs>
                <w:tab w:val="clear" w:pos="360"/>
                <w:tab w:val="num" w:pos="1440"/>
              </w:tabs>
              <w:ind w:left="1440"/>
              <w:rPr>
                <w:rFonts w:ascii="Arial" w:hAnsi="Arial" w:cs="Arial"/>
              </w:rPr>
            </w:pPr>
            <w:r w:rsidRPr="0036044F">
              <w:rPr>
                <w:rFonts w:ascii="Arial" w:hAnsi="Arial" w:cs="Arial"/>
              </w:rPr>
              <w:t>Not to fund.</w:t>
            </w:r>
          </w:p>
          <w:p w:rsidR="00E101B3" w:rsidRPr="0036044F" w:rsidRDefault="00E101B3" w:rsidP="00C46EA6">
            <w:pPr>
              <w:ind w:left="3240"/>
              <w:rPr>
                <w:rFonts w:ascii="Arial" w:hAnsi="Arial" w:cs="Arial"/>
              </w:rPr>
            </w:pPr>
          </w:p>
          <w:p w:rsidR="00E101B3" w:rsidRPr="0036044F" w:rsidRDefault="00E101B3" w:rsidP="00E101B3">
            <w:pPr>
              <w:numPr>
                <w:ilvl w:val="0"/>
                <w:numId w:val="4"/>
              </w:numPr>
              <w:tabs>
                <w:tab w:val="clear" w:pos="360"/>
                <w:tab w:val="num" w:pos="1440"/>
              </w:tabs>
              <w:ind w:left="1440"/>
              <w:rPr>
                <w:rFonts w:ascii="Arial" w:hAnsi="Arial" w:cs="Arial"/>
              </w:rPr>
            </w:pPr>
            <w:r w:rsidRPr="0036044F">
              <w:rPr>
                <w:rFonts w:ascii="Arial" w:hAnsi="Arial" w:cs="Arial"/>
              </w:rPr>
              <w:t xml:space="preserve">Fund on the condition that the patient enters a properly conducted </w:t>
            </w:r>
            <w:r w:rsidRPr="0036044F">
              <w:rPr>
                <w:rFonts w:ascii="Arial" w:hAnsi="Arial" w:cs="Arial"/>
                <w:i/>
              </w:rPr>
              <w:t>‘n of 1’</w:t>
            </w:r>
            <w:r w:rsidRPr="0036044F">
              <w:rPr>
                <w:rFonts w:ascii="Arial" w:hAnsi="Arial" w:cs="Arial"/>
              </w:rPr>
              <w:t xml:space="preserve"> trial.  This option is currently not open to NHS commissioners.</w:t>
            </w:r>
          </w:p>
          <w:p w:rsidR="00E101B3" w:rsidRPr="0036044F" w:rsidRDefault="00E101B3" w:rsidP="00C46EA6">
            <w:pPr>
              <w:ind w:left="2520"/>
              <w:rPr>
                <w:rFonts w:ascii="Arial" w:hAnsi="Arial" w:cs="Arial"/>
              </w:rPr>
            </w:pPr>
          </w:p>
          <w:p w:rsidR="00E101B3" w:rsidRPr="0036044F" w:rsidRDefault="00E101B3" w:rsidP="00E101B3">
            <w:pPr>
              <w:numPr>
                <w:ilvl w:val="0"/>
                <w:numId w:val="4"/>
              </w:numPr>
              <w:tabs>
                <w:tab w:val="clear" w:pos="360"/>
                <w:tab w:val="num" w:pos="1440"/>
              </w:tabs>
              <w:ind w:left="1440"/>
              <w:rPr>
                <w:rFonts w:ascii="Arial" w:hAnsi="Arial" w:cs="Arial"/>
              </w:rPr>
            </w:pPr>
            <w:r w:rsidRPr="0036044F">
              <w:rPr>
                <w:rFonts w:ascii="Arial" w:hAnsi="Arial" w:cs="Arial"/>
              </w:rPr>
              <w:t>Fund a trial of treatment but make ongoing treatment subject to the demonstration of clinical benefit for the individual patient using criteria agreed in advance with the clinical team.</w:t>
            </w:r>
          </w:p>
          <w:p w:rsidR="00E101B3" w:rsidRPr="0036044F" w:rsidRDefault="00E101B3" w:rsidP="00C46EA6">
            <w:pPr>
              <w:ind w:left="2520"/>
              <w:rPr>
                <w:rFonts w:ascii="Arial" w:hAnsi="Arial" w:cs="Arial"/>
              </w:rPr>
            </w:pPr>
          </w:p>
          <w:p w:rsidR="00E101B3" w:rsidRPr="0036044F" w:rsidRDefault="00E101B3" w:rsidP="00F568EF">
            <w:pPr>
              <w:numPr>
                <w:ilvl w:val="0"/>
                <w:numId w:val="4"/>
              </w:numPr>
              <w:tabs>
                <w:tab w:val="clear" w:pos="360"/>
                <w:tab w:val="num" w:pos="1440"/>
              </w:tabs>
              <w:ind w:left="1440"/>
              <w:rPr>
                <w:rFonts w:ascii="Arial" w:hAnsi="Arial" w:cs="Arial"/>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t>1.8</w:t>
            </w:r>
          </w:p>
        </w:tc>
        <w:tc>
          <w:tcPr>
            <w:tcW w:w="8843" w:type="dxa"/>
          </w:tcPr>
          <w:p w:rsidR="00E101B3" w:rsidRPr="0036044F" w:rsidRDefault="00E101B3" w:rsidP="00C46EA6">
            <w:pPr>
              <w:pStyle w:val="BodyText"/>
              <w:rPr>
                <w:rFonts w:ascii="Arial" w:hAnsi="Arial" w:cs="Arial"/>
                <w:sz w:val="24"/>
                <w:szCs w:val="24"/>
              </w:rPr>
            </w:pPr>
            <w:r w:rsidRPr="0036044F">
              <w:rPr>
                <w:rFonts w:ascii="Arial" w:hAnsi="Arial" w:cs="Arial"/>
                <w:sz w:val="24"/>
                <w:szCs w:val="24"/>
              </w:rPr>
              <w:t>In all instances, contribution to any relevant clinical database or population registry which is operating will be an additional condition of approval of funding for the treatment.</w:t>
            </w:r>
          </w:p>
          <w:p w:rsidR="00E101B3" w:rsidRPr="0036044F" w:rsidRDefault="00E101B3" w:rsidP="00C46EA6">
            <w:pPr>
              <w:jc w:val="both"/>
              <w:rPr>
                <w:rFonts w:ascii="Arial" w:hAnsi="Arial" w:cs="Arial"/>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t>1.9</w:t>
            </w:r>
          </w:p>
        </w:tc>
        <w:tc>
          <w:tcPr>
            <w:tcW w:w="8843" w:type="dxa"/>
          </w:tcPr>
          <w:p w:rsidR="00E101B3" w:rsidRPr="0036044F" w:rsidRDefault="00E101B3" w:rsidP="00C46EA6">
            <w:pPr>
              <w:pStyle w:val="BodyText"/>
              <w:rPr>
                <w:rFonts w:ascii="Arial" w:hAnsi="Arial" w:cs="Arial"/>
                <w:sz w:val="24"/>
                <w:szCs w:val="24"/>
              </w:rPr>
            </w:pPr>
            <w:bookmarkStart w:id="1" w:name="_Ref224368547"/>
            <w:r w:rsidRPr="0036044F">
              <w:rPr>
                <w:rFonts w:ascii="Arial" w:hAnsi="Arial" w:cs="Arial"/>
                <w:sz w:val="24"/>
                <w:szCs w:val="24"/>
              </w:rPr>
              <w:t xml:space="preserve">The </w:t>
            </w:r>
            <w:r>
              <w:rPr>
                <w:rFonts w:ascii="Arial" w:hAnsi="Arial" w:cs="Arial"/>
                <w:sz w:val="24"/>
                <w:szCs w:val="24"/>
              </w:rPr>
              <w:t>CCG</w:t>
            </w:r>
            <w:r w:rsidR="00CC76F8">
              <w:rPr>
                <w:rFonts w:ascii="Arial" w:hAnsi="Arial" w:cs="Arial"/>
                <w:sz w:val="24"/>
                <w:szCs w:val="24"/>
                <w:lang w:val="en-GB"/>
              </w:rPr>
              <w:t xml:space="preserve"> is not a research organisation but</w:t>
            </w:r>
            <w:r w:rsidRPr="0036044F">
              <w:rPr>
                <w:rFonts w:ascii="Arial" w:hAnsi="Arial" w:cs="Arial"/>
                <w:sz w:val="24"/>
                <w:szCs w:val="24"/>
              </w:rPr>
              <w:t xml:space="preserve"> will be prepared to consider requests to sponsor an individual patient to enter a clinical trial. When such an application is made, the </w:t>
            </w:r>
            <w:r>
              <w:rPr>
                <w:rFonts w:ascii="Arial" w:hAnsi="Arial" w:cs="Arial"/>
                <w:sz w:val="24"/>
                <w:szCs w:val="24"/>
              </w:rPr>
              <w:t>CCG</w:t>
            </w:r>
            <w:r w:rsidRPr="0036044F">
              <w:rPr>
                <w:rFonts w:ascii="Arial" w:hAnsi="Arial" w:cs="Arial"/>
                <w:sz w:val="24"/>
                <w:szCs w:val="24"/>
              </w:rPr>
              <w:t xml:space="preserve"> will give consideration to:</w:t>
            </w:r>
            <w:bookmarkEnd w:id="1"/>
          </w:p>
          <w:p w:rsidR="00E101B3" w:rsidRPr="0036044F" w:rsidRDefault="00E101B3" w:rsidP="00C46EA6">
            <w:pPr>
              <w:pStyle w:val="BodyText"/>
              <w:rPr>
                <w:rFonts w:ascii="Arial" w:hAnsi="Arial" w:cs="Arial"/>
                <w:sz w:val="24"/>
                <w:szCs w:val="24"/>
              </w:rPr>
            </w:pPr>
          </w:p>
          <w:p w:rsidR="00E101B3" w:rsidRPr="0036044F" w:rsidRDefault="00E101B3" w:rsidP="00E101B3">
            <w:pPr>
              <w:numPr>
                <w:ilvl w:val="0"/>
                <w:numId w:val="5"/>
              </w:numPr>
              <w:tabs>
                <w:tab w:val="clear" w:pos="360"/>
                <w:tab w:val="num" w:pos="1440"/>
              </w:tabs>
              <w:ind w:left="1440"/>
              <w:rPr>
                <w:rFonts w:ascii="Arial" w:hAnsi="Arial" w:cs="Arial"/>
              </w:rPr>
            </w:pPr>
            <w:r w:rsidRPr="0036044F">
              <w:rPr>
                <w:rFonts w:ascii="Arial" w:hAnsi="Arial" w:cs="Arial"/>
              </w:rPr>
              <w:t xml:space="preserve">The potential strategic importance of the treatment. This requires a judgment to be made on whether the trial will address </w:t>
            </w:r>
            <w:r>
              <w:rPr>
                <w:rFonts w:ascii="Arial" w:hAnsi="Arial" w:cs="Arial"/>
              </w:rPr>
              <w:t>CCG</w:t>
            </w:r>
            <w:r w:rsidRPr="0036044F">
              <w:rPr>
                <w:rFonts w:ascii="Arial" w:hAnsi="Arial" w:cs="Arial"/>
              </w:rPr>
              <w:t xml:space="preserve"> priorities for the programme area. </w:t>
            </w:r>
          </w:p>
          <w:p w:rsidR="00E101B3" w:rsidRPr="0036044F" w:rsidRDefault="00E101B3" w:rsidP="00C46EA6">
            <w:pPr>
              <w:ind w:left="2520"/>
              <w:rPr>
                <w:rFonts w:ascii="Arial" w:hAnsi="Arial" w:cs="Arial"/>
              </w:rPr>
            </w:pPr>
          </w:p>
          <w:p w:rsidR="00E101B3" w:rsidRPr="0036044F" w:rsidRDefault="00E101B3" w:rsidP="00E101B3">
            <w:pPr>
              <w:numPr>
                <w:ilvl w:val="0"/>
                <w:numId w:val="5"/>
              </w:numPr>
              <w:tabs>
                <w:tab w:val="clear" w:pos="360"/>
                <w:tab w:val="num" w:pos="1440"/>
              </w:tabs>
              <w:ind w:left="1440"/>
              <w:rPr>
                <w:rFonts w:ascii="Arial" w:hAnsi="Arial" w:cs="Arial"/>
              </w:rPr>
            </w:pPr>
            <w:r w:rsidRPr="0036044F">
              <w:rPr>
                <w:rFonts w:ascii="Arial" w:hAnsi="Arial" w:cs="Arial"/>
              </w:rPr>
              <w:t xml:space="preserve">The quality of the trial and whether or not it is going to generate the sort of information needed to enable the </w:t>
            </w:r>
            <w:r>
              <w:rPr>
                <w:rFonts w:ascii="Arial" w:hAnsi="Arial" w:cs="Arial"/>
              </w:rPr>
              <w:t>CCG</w:t>
            </w:r>
            <w:r w:rsidRPr="0036044F">
              <w:rPr>
                <w:rFonts w:ascii="Arial" w:hAnsi="Arial" w:cs="Arial"/>
              </w:rPr>
              <w:t xml:space="preserve"> to reach a view on the clinical effectiveness and cost effectiveness of the treatment. Specialist advice may need to be sought on the methodology to be adopted within any trial. </w:t>
            </w:r>
          </w:p>
          <w:p w:rsidR="00E101B3" w:rsidRPr="0036044F" w:rsidRDefault="00E101B3" w:rsidP="00C46EA6">
            <w:pPr>
              <w:ind w:left="2520"/>
              <w:rPr>
                <w:rFonts w:ascii="Arial" w:hAnsi="Arial" w:cs="Arial"/>
              </w:rPr>
            </w:pPr>
          </w:p>
          <w:p w:rsidR="00E101B3" w:rsidRPr="0036044F" w:rsidRDefault="00E101B3" w:rsidP="00E101B3">
            <w:pPr>
              <w:numPr>
                <w:ilvl w:val="0"/>
                <w:numId w:val="5"/>
              </w:numPr>
              <w:tabs>
                <w:tab w:val="clear" w:pos="360"/>
                <w:tab w:val="num" w:pos="1440"/>
              </w:tabs>
              <w:ind w:left="1440"/>
              <w:rPr>
                <w:rFonts w:ascii="Arial" w:hAnsi="Arial" w:cs="Arial"/>
              </w:rPr>
            </w:pPr>
            <w:r w:rsidRPr="0036044F">
              <w:rPr>
                <w:rFonts w:ascii="Arial" w:hAnsi="Arial" w:cs="Arial"/>
              </w:rPr>
              <w:lastRenderedPageBreak/>
              <w:t xml:space="preserve">Ownership of the data. Trials which do not guarantee that the data will be made available in the public domain will not be considered for funding. </w:t>
            </w:r>
          </w:p>
          <w:p w:rsidR="00E101B3" w:rsidRPr="0036044F" w:rsidRDefault="00E101B3" w:rsidP="00C46EA6">
            <w:pPr>
              <w:ind w:left="1440"/>
              <w:rPr>
                <w:rFonts w:ascii="Arial" w:hAnsi="Arial" w:cs="Arial"/>
              </w:rPr>
            </w:pPr>
          </w:p>
          <w:p w:rsidR="00E101B3" w:rsidRPr="0036044F" w:rsidRDefault="00E101B3" w:rsidP="00E101B3">
            <w:pPr>
              <w:numPr>
                <w:ilvl w:val="0"/>
                <w:numId w:val="5"/>
              </w:numPr>
              <w:tabs>
                <w:tab w:val="clear" w:pos="360"/>
                <w:tab w:val="num" w:pos="1440"/>
              </w:tabs>
              <w:ind w:left="1440"/>
              <w:rPr>
                <w:rFonts w:ascii="Arial" w:hAnsi="Arial" w:cs="Arial"/>
              </w:rPr>
            </w:pPr>
            <w:r w:rsidRPr="0036044F">
              <w:rPr>
                <w:rFonts w:ascii="Arial" w:hAnsi="Arial" w:cs="Arial"/>
              </w:rPr>
              <w:t xml:space="preserve">Affordability. </w:t>
            </w:r>
          </w:p>
          <w:p w:rsidR="00E101B3" w:rsidRPr="0036044F" w:rsidRDefault="00E101B3" w:rsidP="00C46EA6">
            <w:pPr>
              <w:jc w:val="both"/>
              <w:rPr>
                <w:rFonts w:ascii="Arial" w:hAnsi="Arial" w:cs="Arial"/>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lastRenderedPageBreak/>
              <w:t>1.10</w:t>
            </w:r>
          </w:p>
        </w:tc>
        <w:tc>
          <w:tcPr>
            <w:tcW w:w="8843" w:type="dxa"/>
          </w:tcPr>
          <w:p w:rsidR="00E101B3" w:rsidRPr="0036044F" w:rsidRDefault="00E101B3" w:rsidP="00C46EA6">
            <w:pPr>
              <w:pStyle w:val="BodyText"/>
              <w:rPr>
                <w:rFonts w:ascii="Arial" w:hAnsi="Arial" w:cs="Arial"/>
                <w:sz w:val="24"/>
                <w:szCs w:val="24"/>
              </w:rPr>
            </w:pPr>
            <w:r w:rsidRPr="0036044F">
              <w:rPr>
                <w:rFonts w:ascii="Arial" w:hAnsi="Arial" w:cs="Arial"/>
                <w:sz w:val="24"/>
                <w:szCs w:val="24"/>
              </w:rPr>
              <w:t xml:space="preserve">Where an application is made under paragraph </w:t>
            </w:r>
            <w:r w:rsidRPr="0036044F">
              <w:rPr>
                <w:rFonts w:ascii="Arial" w:hAnsi="Arial" w:cs="Arial"/>
                <w:sz w:val="24"/>
                <w:szCs w:val="24"/>
              </w:rPr>
              <w:fldChar w:fldCharType="begin"/>
            </w:r>
            <w:r w:rsidRPr="0036044F">
              <w:rPr>
                <w:rFonts w:ascii="Arial" w:hAnsi="Arial" w:cs="Arial"/>
                <w:sz w:val="24"/>
                <w:szCs w:val="24"/>
              </w:rPr>
              <w:instrText xml:space="preserve"> REF _Ref224368547 \r \h  \* MERGEFORMAT </w:instrText>
            </w:r>
            <w:r w:rsidRPr="0036044F">
              <w:rPr>
                <w:rFonts w:ascii="Arial" w:hAnsi="Arial" w:cs="Arial"/>
                <w:sz w:val="24"/>
                <w:szCs w:val="24"/>
              </w:rPr>
            </w:r>
            <w:r w:rsidRPr="0036044F">
              <w:rPr>
                <w:rFonts w:ascii="Arial" w:hAnsi="Arial" w:cs="Arial"/>
                <w:sz w:val="24"/>
                <w:szCs w:val="24"/>
              </w:rPr>
              <w:fldChar w:fldCharType="separate"/>
            </w:r>
            <w:r w:rsidR="00692935">
              <w:rPr>
                <w:rFonts w:ascii="Arial" w:hAnsi="Arial" w:cs="Arial"/>
                <w:sz w:val="24"/>
                <w:szCs w:val="24"/>
              </w:rPr>
              <w:t>0</w:t>
            </w:r>
            <w:r w:rsidRPr="0036044F">
              <w:rPr>
                <w:rFonts w:ascii="Arial" w:hAnsi="Arial" w:cs="Arial"/>
                <w:sz w:val="24"/>
                <w:szCs w:val="24"/>
              </w:rPr>
              <w:fldChar w:fldCharType="end"/>
            </w:r>
            <w:r w:rsidRPr="0036044F">
              <w:rPr>
                <w:rFonts w:ascii="Arial" w:hAnsi="Arial" w:cs="Arial"/>
                <w:sz w:val="24"/>
                <w:szCs w:val="24"/>
              </w:rPr>
              <w:t>, the clinician will be expected to provide as much information about the patient, the treatment and the trial as possible.  A copy of the trial protocol should also be included with the application.</w:t>
            </w:r>
          </w:p>
          <w:p w:rsidR="00E101B3" w:rsidRPr="0036044F" w:rsidRDefault="00E101B3" w:rsidP="00C46EA6">
            <w:pPr>
              <w:jc w:val="both"/>
              <w:rPr>
                <w:rFonts w:ascii="Arial" w:hAnsi="Arial" w:cs="Arial"/>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t>1.11</w:t>
            </w:r>
          </w:p>
        </w:tc>
        <w:tc>
          <w:tcPr>
            <w:tcW w:w="8843" w:type="dxa"/>
          </w:tcPr>
          <w:p w:rsidR="00E101B3" w:rsidRPr="0036044F" w:rsidRDefault="00E101B3" w:rsidP="00C46EA6">
            <w:pPr>
              <w:pStyle w:val="BodyText"/>
              <w:rPr>
                <w:rFonts w:ascii="Arial" w:hAnsi="Arial" w:cs="Arial"/>
                <w:sz w:val="24"/>
                <w:szCs w:val="24"/>
              </w:rPr>
            </w:pPr>
            <w:r w:rsidRPr="0036044F">
              <w:rPr>
                <w:rFonts w:ascii="Arial" w:hAnsi="Arial" w:cs="Arial"/>
                <w:sz w:val="24"/>
                <w:szCs w:val="24"/>
              </w:rPr>
              <w:t>If pick-up funding may be required following a trial, details of this potential should be indicated in any application for funding.  If the patient is sponsored, a record of acceptance should be kept in the patient notes to ensure pick-up is carried out.</w:t>
            </w:r>
            <w:r w:rsidR="00CC76F8">
              <w:rPr>
                <w:rFonts w:ascii="Arial" w:hAnsi="Arial" w:cs="Arial"/>
                <w:sz w:val="24"/>
                <w:szCs w:val="24"/>
                <w:lang w:val="en-GB"/>
              </w:rPr>
              <w:t xml:space="preserve">  Discussion on and tracking of any future commitments will also be carried out.  </w:t>
            </w:r>
            <w:r w:rsidRPr="0036044F">
              <w:rPr>
                <w:rFonts w:ascii="Arial" w:hAnsi="Arial" w:cs="Arial"/>
                <w:sz w:val="24"/>
                <w:szCs w:val="24"/>
              </w:rPr>
              <w:t xml:space="preserve">This is of particular importance given the </w:t>
            </w:r>
            <w:r w:rsidR="00CC76F8">
              <w:rPr>
                <w:rFonts w:ascii="Arial" w:hAnsi="Arial" w:cs="Arial"/>
                <w:sz w:val="24"/>
                <w:szCs w:val="24"/>
                <w:lang w:val="en-GB"/>
              </w:rPr>
              <w:t>frequent</w:t>
            </w:r>
            <w:r w:rsidR="00CC76F8" w:rsidRPr="0036044F">
              <w:rPr>
                <w:rFonts w:ascii="Arial" w:hAnsi="Arial" w:cs="Arial"/>
                <w:sz w:val="24"/>
                <w:szCs w:val="24"/>
              </w:rPr>
              <w:t xml:space="preserve"> </w:t>
            </w:r>
            <w:r w:rsidRPr="0036044F">
              <w:rPr>
                <w:rFonts w:ascii="Arial" w:hAnsi="Arial" w:cs="Arial"/>
                <w:sz w:val="24"/>
                <w:szCs w:val="24"/>
              </w:rPr>
              <w:t>reorganisation of the commissioning arm of the NHS.</w:t>
            </w:r>
          </w:p>
          <w:p w:rsidR="00E101B3" w:rsidRPr="0036044F" w:rsidRDefault="00E101B3" w:rsidP="00C46EA6">
            <w:pPr>
              <w:jc w:val="both"/>
              <w:rPr>
                <w:rFonts w:ascii="Arial" w:hAnsi="Arial" w:cs="Arial"/>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t>1.12</w:t>
            </w:r>
          </w:p>
        </w:tc>
        <w:tc>
          <w:tcPr>
            <w:tcW w:w="8843" w:type="dxa"/>
          </w:tcPr>
          <w:p w:rsidR="00E101B3" w:rsidRPr="0036044F" w:rsidRDefault="00E101B3" w:rsidP="00C46EA6">
            <w:pPr>
              <w:pStyle w:val="BodyText"/>
              <w:rPr>
                <w:rFonts w:ascii="Arial" w:hAnsi="Arial" w:cs="Arial"/>
                <w:b/>
                <w:sz w:val="24"/>
                <w:szCs w:val="24"/>
              </w:rPr>
            </w:pPr>
            <w:r w:rsidRPr="0036044F">
              <w:rPr>
                <w:rFonts w:ascii="Arial" w:hAnsi="Arial" w:cs="Arial"/>
                <w:sz w:val="24"/>
                <w:szCs w:val="24"/>
              </w:rPr>
              <w:t xml:space="preserve">The </w:t>
            </w:r>
            <w:r>
              <w:rPr>
                <w:rFonts w:ascii="Arial" w:hAnsi="Arial" w:cs="Arial"/>
                <w:sz w:val="24"/>
                <w:szCs w:val="24"/>
              </w:rPr>
              <w:t>CCG</w:t>
            </w:r>
            <w:r w:rsidRPr="0036044F">
              <w:rPr>
                <w:rFonts w:ascii="Arial" w:hAnsi="Arial" w:cs="Arial"/>
                <w:sz w:val="24"/>
                <w:szCs w:val="24"/>
              </w:rPr>
              <w:t xml:space="preserve"> may either consider initiating a national trial or be asked to consider funding a trial of treatments considered of importance to commissioners.  Such trials are a major undertaking and usually require collaboration with other </w:t>
            </w:r>
            <w:r>
              <w:rPr>
                <w:rFonts w:ascii="Arial" w:hAnsi="Arial" w:cs="Arial"/>
                <w:sz w:val="24"/>
                <w:szCs w:val="24"/>
              </w:rPr>
              <w:t>CCG</w:t>
            </w:r>
            <w:r w:rsidRPr="0036044F">
              <w:rPr>
                <w:rFonts w:ascii="Arial" w:hAnsi="Arial" w:cs="Arial"/>
                <w:sz w:val="24"/>
                <w:szCs w:val="24"/>
              </w:rPr>
              <w:t xml:space="preserve">s.  As such they will be infrequent events. </w:t>
            </w:r>
          </w:p>
          <w:p w:rsidR="00E101B3" w:rsidRPr="0036044F" w:rsidRDefault="00E101B3" w:rsidP="00C46EA6">
            <w:pPr>
              <w:jc w:val="both"/>
              <w:rPr>
                <w:rFonts w:ascii="Arial" w:hAnsi="Arial" w:cs="Arial"/>
                <w:bCs/>
              </w:rPr>
            </w:pPr>
          </w:p>
        </w:tc>
      </w:tr>
      <w:tr w:rsidR="00E101B3" w:rsidRPr="0036044F" w:rsidTr="00C46EA6">
        <w:tc>
          <w:tcPr>
            <w:tcW w:w="1188" w:type="dxa"/>
          </w:tcPr>
          <w:p w:rsidR="00E101B3" w:rsidRPr="0036044F" w:rsidRDefault="00E101B3" w:rsidP="00C46EA6">
            <w:pPr>
              <w:jc w:val="both"/>
              <w:rPr>
                <w:rFonts w:ascii="Arial" w:hAnsi="Arial" w:cs="Arial"/>
                <w:b/>
              </w:rPr>
            </w:pPr>
            <w:r w:rsidRPr="0036044F">
              <w:rPr>
                <w:rFonts w:ascii="Arial" w:hAnsi="Arial" w:cs="Arial"/>
                <w:b/>
              </w:rPr>
              <w:t>2</w:t>
            </w:r>
          </w:p>
        </w:tc>
        <w:tc>
          <w:tcPr>
            <w:tcW w:w="8843" w:type="dxa"/>
          </w:tcPr>
          <w:p w:rsidR="00E101B3" w:rsidRPr="0036044F" w:rsidRDefault="00E101B3" w:rsidP="00C46EA6">
            <w:pPr>
              <w:pStyle w:val="BodyText"/>
              <w:jc w:val="left"/>
              <w:rPr>
                <w:rFonts w:ascii="Arial" w:hAnsi="Arial" w:cs="Arial"/>
                <w:b/>
                <w:sz w:val="24"/>
                <w:szCs w:val="24"/>
              </w:rPr>
            </w:pPr>
            <w:r w:rsidRPr="0036044F">
              <w:rPr>
                <w:rFonts w:ascii="Arial" w:hAnsi="Arial" w:cs="Arial"/>
                <w:b/>
                <w:sz w:val="24"/>
                <w:szCs w:val="24"/>
              </w:rPr>
              <w:t>Documents which have informed this policy</w:t>
            </w:r>
          </w:p>
          <w:p w:rsidR="00E101B3" w:rsidRPr="0036044F" w:rsidRDefault="00E101B3" w:rsidP="00C46EA6">
            <w:pPr>
              <w:jc w:val="both"/>
              <w:rPr>
                <w:rFonts w:ascii="Arial" w:hAnsi="Arial" w:cs="Arial"/>
                <w:b/>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t>2.1</w:t>
            </w:r>
          </w:p>
        </w:tc>
        <w:tc>
          <w:tcPr>
            <w:tcW w:w="8843" w:type="dxa"/>
          </w:tcPr>
          <w:p w:rsidR="00E101B3" w:rsidRPr="0036044F" w:rsidRDefault="00E101B3" w:rsidP="00C46EA6">
            <w:pPr>
              <w:pStyle w:val="BodyText"/>
              <w:jc w:val="left"/>
              <w:rPr>
                <w:rFonts w:ascii="Arial" w:hAnsi="Arial" w:cs="Arial"/>
                <w:sz w:val="24"/>
                <w:szCs w:val="24"/>
              </w:rPr>
            </w:pPr>
            <w:r w:rsidRPr="0036044F">
              <w:rPr>
                <w:rFonts w:ascii="Arial" w:hAnsi="Arial" w:cs="Arial"/>
                <w:noProof/>
                <w:sz w:val="24"/>
                <w:szCs w:val="24"/>
                <w:lang w:eastAsia="en-GB"/>
              </w:rPr>
              <w:t>Delivering Excellence for Swindon 2010 - 2015</w:t>
            </w:r>
          </w:p>
          <w:p w:rsidR="00E101B3" w:rsidRPr="0036044F" w:rsidRDefault="00E101B3" w:rsidP="00C46EA6">
            <w:pPr>
              <w:jc w:val="both"/>
              <w:rPr>
                <w:rFonts w:ascii="Arial" w:hAnsi="Arial" w:cs="Arial"/>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t>2.2</w:t>
            </w:r>
          </w:p>
        </w:tc>
        <w:tc>
          <w:tcPr>
            <w:tcW w:w="8843" w:type="dxa"/>
          </w:tcPr>
          <w:p w:rsidR="00E101B3" w:rsidRPr="0036044F" w:rsidRDefault="00E101B3" w:rsidP="00C46EA6">
            <w:pPr>
              <w:pStyle w:val="BodyText"/>
              <w:jc w:val="left"/>
              <w:rPr>
                <w:rFonts w:ascii="Arial" w:hAnsi="Arial" w:cs="Arial"/>
                <w:sz w:val="24"/>
                <w:szCs w:val="24"/>
              </w:rPr>
            </w:pPr>
            <w:r w:rsidRPr="0036044F">
              <w:rPr>
                <w:rFonts w:ascii="Arial" w:hAnsi="Arial" w:cs="Arial"/>
                <w:sz w:val="24"/>
                <w:szCs w:val="24"/>
              </w:rPr>
              <w:t>Individual Funding Requests: NHS Swindon commissioning policy no9</w:t>
            </w:r>
          </w:p>
          <w:p w:rsidR="00E101B3" w:rsidRPr="0036044F" w:rsidRDefault="00E101B3" w:rsidP="00C46EA6">
            <w:pPr>
              <w:jc w:val="both"/>
              <w:rPr>
                <w:rFonts w:ascii="Arial" w:hAnsi="Arial" w:cs="Arial"/>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t>2.3</w:t>
            </w:r>
          </w:p>
        </w:tc>
        <w:tc>
          <w:tcPr>
            <w:tcW w:w="8843" w:type="dxa"/>
          </w:tcPr>
          <w:p w:rsidR="00E101B3" w:rsidRPr="0036044F" w:rsidRDefault="00E101B3" w:rsidP="00C46EA6">
            <w:pPr>
              <w:pStyle w:val="BodyText"/>
              <w:jc w:val="left"/>
              <w:rPr>
                <w:rFonts w:ascii="Arial" w:hAnsi="Arial" w:cs="Arial"/>
                <w:sz w:val="24"/>
                <w:szCs w:val="24"/>
              </w:rPr>
            </w:pPr>
            <w:r w:rsidRPr="0036044F">
              <w:rPr>
                <w:rFonts w:ascii="Arial" w:hAnsi="Arial" w:cs="Arial"/>
                <w:sz w:val="24"/>
                <w:szCs w:val="24"/>
              </w:rPr>
              <w:t xml:space="preserve">West Midlands Strategic Commissioning Group, Commissioning Policy 1: Ethical Framework to underpin priority setting and resource allocation within collaborative commissioning arrangements, November 2009 </w:t>
            </w:r>
          </w:p>
          <w:p w:rsidR="00E101B3" w:rsidRPr="0036044F" w:rsidRDefault="00E101B3" w:rsidP="00C46EA6">
            <w:pPr>
              <w:jc w:val="both"/>
              <w:rPr>
                <w:rFonts w:ascii="Arial" w:hAnsi="Arial" w:cs="Arial"/>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t>2.4</w:t>
            </w:r>
          </w:p>
        </w:tc>
        <w:tc>
          <w:tcPr>
            <w:tcW w:w="8843" w:type="dxa"/>
          </w:tcPr>
          <w:p w:rsidR="00E101B3" w:rsidRPr="0036044F" w:rsidRDefault="00E101B3" w:rsidP="00C46EA6">
            <w:pPr>
              <w:pStyle w:val="BodyText"/>
              <w:jc w:val="left"/>
              <w:rPr>
                <w:rFonts w:ascii="Arial" w:hAnsi="Arial" w:cs="Arial"/>
                <w:sz w:val="24"/>
                <w:szCs w:val="24"/>
              </w:rPr>
            </w:pPr>
            <w:r w:rsidRPr="0036044F">
              <w:rPr>
                <w:rFonts w:ascii="Arial" w:hAnsi="Arial" w:cs="Arial"/>
                <w:sz w:val="24"/>
                <w:szCs w:val="24"/>
              </w:rPr>
              <w:t xml:space="preserve">West Midlands Strategic Commissioning Group, Commissioning Policy 9: Individual Funding Requests, November 2009 </w:t>
            </w:r>
          </w:p>
          <w:p w:rsidR="00E101B3" w:rsidRPr="0036044F" w:rsidRDefault="00E101B3" w:rsidP="00C46EA6">
            <w:pPr>
              <w:jc w:val="both"/>
              <w:rPr>
                <w:rFonts w:ascii="Arial" w:hAnsi="Arial" w:cs="Arial"/>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t>2.5</w:t>
            </w:r>
          </w:p>
        </w:tc>
        <w:tc>
          <w:tcPr>
            <w:tcW w:w="8843" w:type="dxa"/>
          </w:tcPr>
          <w:p w:rsidR="00E101B3" w:rsidRPr="0036044F" w:rsidRDefault="00E101B3" w:rsidP="00C46EA6">
            <w:pPr>
              <w:tabs>
                <w:tab w:val="left" w:pos="4100"/>
              </w:tabs>
              <w:rPr>
                <w:rFonts w:ascii="Arial" w:hAnsi="Arial" w:cs="Arial"/>
              </w:rPr>
            </w:pPr>
            <w:r w:rsidRPr="0036044F">
              <w:rPr>
                <w:rFonts w:ascii="Arial" w:hAnsi="Arial" w:cs="Arial"/>
              </w:rPr>
              <w:t>West Midlands Strategic Commissioning Group, Guidance Note 2: The role of commissioners in the e</w:t>
            </w:r>
            <w:bookmarkStart w:id="2" w:name="_GoBack"/>
            <w:bookmarkEnd w:id="2"/>
            <w:r w:rsidRPr="0036044F">
              <w:rPr>
                <w:rFonts w:ascii="Arial" w:hAnsi="Arial" w:cs="Arial"/>
              </w:rPr>
              <w:t>valuation of individual treatments and the funding of clinical research. November 2009</w:t>
            </w:r>
          </w:p>
          <w:p w:rsidR="00E101B3" w:rsidRPr="0036044F" w:rsidRDefault="00E101B3" w:rsidP="00C46EA6">
            <w:pPr>
              <w:jc w:val="both"/>
              <w:rPr>
                <w:rFonts w:ascii="Arial" w:hAnsi="Arial" w:cs="Arial"/>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t>2.6</w:t>
            </w:r>
          </w:p>
        </w:tc>
        <w:tc>
          <w:tcPr>
            <w:tcW w:w="8843" w:type="dxa"/>
          </w:tcPr>
          <w:p w:rsidR="00E101B3" w:rsidRPr="0036044F" w:rsidRDefault="00E101B3" w:rsidP="00C46EA6">
            <w:pPr>
              <w:rPr>
                <w:rFonts w:ascii="Arial" w:hAnsi="Arial" w:cs="Arial"/>
              </w:rPr>
            </w:pPr>
            <w:r w:rsidRPr="0036044F">
              <w:rPr>
                <w:rFonts w:ascii="Arial" w:hAnsi="Arial" w:cs="Arial"/>
              </w:rPr>
              <w:t xml:space="preserve">Department of Health letter, Requirements to support research in the NHS, Gateway number 12153, July 2009.  </w:t>
            </w:r>
            <w:hyperlink r:id="rId10" w:history="1">
              <w:r w:rsidRPr="0036044F">
                <w:rPr>
                  <w:rStyle w:val="Hyperlink"/>
                  <w:rFonts w:ascii="Arial" w:hAnsi="Arial" w:cs="Arial"/>
                </w:rPr>
                <w:t>http://www.dh.gov.uk/en/Publicationsandstatistics/</w:t>
              </w:r>
            </w:hyperlink>
          </w:p>
          <w:p w:rsidR="00E101B3" w:rsidRPr="0036044F" w:rsidRDefault="00E101B3" w:rsidP="00C46EA6">
            <w:pPr>
              <w:rPr>
                <w:rFonts w:ascii="Arial" w:hAnsi="Arial" w:cs="Arial"/>
              </w:rPr>
            </w:pPr>
            <w:proofErr w:type="spellStart"/>
            <w:r w:rsidRPr="0036044F">
              <w:rPr>
                <w:rFonts w:ascii="Arial" w:hAnsi="Arial" w:cs="Arial"/>
              </w:rPr>
              <w:t>Lettersandcirculars</w:t>
            </w:r>
            <w:proofErr w:type="spellEnd"/>
            <w:r w:rsidRPr="0036044F">
              <w:rPr>
                <w:rFonts w:ascii="Arial" w:hAnsi="Arial" w:cs="Arial"/>
              </w:rPr>
              <w:t>/</w:t>
            </w:r>
            <w:proofErr w:type="spellStart"/>
            <w:r w:rsidRPr="0036044F">
              <w:rPr>
                <w:rFonts w:ascii="Arial" w:hAnsi="Arial" w:cs="Arial"/>
              </w:rPr>
              <w:t>Dearcolleagueletters</w:t>
            </w:r>
            <w:proofErr w:type="spellEnd"/>
            <w:r w:rsidRPr="0036044F">
              <w:rPr>
                <w:rFonts w:ascii="Arial" w:hAnsi="Arial" w:cs="Arial"/>
              </w:rPr>
              <w:t>/DH_102101</w:t>
            </w:r>
          </w:p>
          <w:p w:rsidR="00E101B3" w:rsidRPr="0036044F" w:rsidRDefault="00E101B3" w:rsidP="00C46EA6">
            <w:pPr>
              <w:jc w:val="both"/>
              <w:rPr>
                <w:rFonts w:ascii="Arial" w:hAnsi="Arial" w:cs="Arial"/>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t>2.7</w:t>
            </w:r>
          </w:p>
        </w:tc>
        <w:tc>
          <w:tcPr>
            <w:tcW w:w="8843" w:type="dxa"/>
          </w:tcPr>
          <w:p w:rsidR="00E101B3" w:rsidRPr="0036044F" w:rsidRDefault="00E101B3" w:rsidP="00C46EA6">
            <w:pPr>
              <w:autoSpaceDE w:val="0"/>
              <w:autoSpaceDN w:val="0"/>
              <w:adjustRightInd w:val="0"/>
              <w:rPr>
                <w:rFonts w:ascii="Arial" w:hAnsi="Arial" w:cs="Arial"/>
              </w:rPr>
            </w:pPr>
            <w:r w:rsidRPr="0036044F">
              <w:rPr>
                <w:rFonts w:ascii="Arial" w:hAnsi="Arial" w:cs="Arial"/>
                <w:bCs/>
              </w:rPr>
              <w:t xml:space="preserve">Department of Health: </w:t>
            </w:r>
            <w:proofErr w:type="gramStart"/>
            <w:r w:rsidRPr="0036044F">
              <w:rPr>
                <w:rFonts w:ascii="Arial" w:hAnsi="Arial" w:cs="Arial"/>
                <w:bCs/>
              </w:rPr>
              <w:t>HSG(</w:t>
            </w:r>
            <w:proofErr w:type="gramEnd"/>
            <w:r w:rsidRPr="0036044F">
              <w:rPr>
                <w:rFonts w:ascii="Arial" w:hAnsi="Arial" w:cs="Arial"/>
                <w:bCs/>
              </w:rPr>
              <w:t xml:space="preserve">97)32:Responsibilities for meeting Patient Care Costs associated with Research and Development in the NHS. </w:t>
            </w:r>
            <w:hyperlink r:id="rId11" w:history="1">
              <w:r w:rsidRPr="0036044F">
                <w:rPr>
                  <w:rStyle w:val="Hyperlink"/>
                  <w:rFonts w:ascii="Arial" w:hAnsi="Arial" w:cs="Arial"/>
                </w:rPr>
                <w:t>http://www.dh.gov.uk/en/Researchanddevelopment/A-Z/DH_4016456</w:t>
              </w:r>
            </w:hyperlink>
          </w:p>
          <w:p w:rsidR="00E101B3" w:rsidRPr="0036044F" w:rsidRDefault="00E101B3" w:rsidP="00C46EA6">
            <w:pPr>
              <w:jc w:val="both"/>
              <w:rPr>
                <w:rFonts w:ascii="Arial" w:hAnsi="Arial" w:cs="Arial"/>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t>2.8</w:t>
            </w:r>
          </w:p>
        </w:tc>
        <w:tc>
          <w:tcPr>
            <w:tcW w:w="8843" w:type="dxa"/>
          </w:tcPr>
          <w:p w:rsidR="00E101B3" w:rsidRPr="0036044F" w:rsidRDefault="00E101B3" w:rsidP="00C46EA6">
            <w:pPr>
              <w:pStyle w:val="BodyText"/>
              <w:jc w:val="left"/>
              <w:rPr>
                <w:rFonts w:ascii="Arial" w:hAnsi="Arial" w:cs="Arial"/>
                <w:sz w:val="24"/>
                <w:szCs w:val="24"/>
              </w:rPr>
            </w:pPr>
            <w:r w:rsidRPr="0036044F">
              <w:rPr>
                <w:rFonts w:ascii="Arial" w:hAnsi="Arial" w:cs="Arial"/>
                <w:sz w:val="24"/>
                <w:szCs w:val="24"/>
              </w:rPr>
              <w:t>Department of Health, The National Health Service Act 2006, The National Health Service (Wales) Act 2006 and The National Health Service (Consequential Provisions) Act 2006.</w:t>
            </w:r>
          </w:p>
          <w:p w:rsidR="00E101B3" w:rsidRPr="0036044F" w:rsidRDefault="006C4F9C" w:rsidP="00C46EA6">
            <w:pPr>
              <w:pStyle w:val="BodyText"/>
              <w:tabs>
                <w:tab w:val="num" w:pos="400"/>
              </w:tabs>
              <w:jc w:val="left"/>
              <w:rPr>
                <w:rFonts w:ascii="Arial" w:hAnsi="Arial" w:cs="Arial"/>
                <w:sz w:val="24"/>
                <w:szCs w:val="24"/>
                <w:lang w:val="en-GB"/>
              </w:rPr>
            </w:pPr>
            <w:hyperlink r:id="rId12" w:history="1">
              <w:r w:rsidR="00E101B3" w:rsidRPr="0036044F">
                <w:rPr>
                  <w:rStyle w:val="Hyperlink"/>
                  <w:rFonts w:ascii="Arial" w:hAnsi="Arial" w:cs="Arial"/>
                  <w:sz w:val="24"/>
                  <w:szCs w:val="24"/>
                </w:rPr>
                <w:t>http://www.dh.gov.uk/en/Publicationsandstatistics/</w:t>
              </w:r>
            </w:hyperlink>
          </w:p>
          <w:p w:rsidR="00E101B3" w:rsidRPr="0036044F" w:rsidRDefault="00E101B3" w:rsidP="00C46EA6">
            <w:pPr>
              <w:pStyle w:val="BodyText"/>
              <w:tabs>
                <w:tab w:val="num" w:pos="400"/>
              </w:tabs>
              <w:jc w:val="left"/>
              <w:rPr>
                <w:rFonts w:ascii="Arial" w:hAnsi="Arial" w:cs="Arial"/>
                <w:sz w:val="24"/>
                <w:szCs w:val="24"/>
              </w:rPr>
            </w:pPr>
            <w:r w:rsidRPr="0036044F">
              <w:rPr>
                <w:rFonts w:ascii="Arial" w:hAnsi="Arial" w:cs="Arial"/>
                <w:sz w:val="24"/>
                <w:szCs w:val="24"/>
              </w:rPr>
              <w:t>Legislation/</w:t>
            </w:r>
            <w:proofErr w:type="spellStart"/>
            <w:r w:rsidRPr="0036044F">
              <w:rPr>
                <w:rFonts w:ascii="Arial" w:hAnsi="Arial" w:cs="Arial"/>
                <w:sz w:val="24"/>
                <w:szCs w:val="24"/>
              </w:rPr>
              <w:t>Actsandbills</w:t>
            </w:r>
            <w:proofErr w:type="spellEnd"/>
            <w:r w:rsidRPr="0036044F">
              <w:rPr>
                <w:rFonts w:ascii="Arial" w:hAnsi="Arial" w:cs="Arial"/>
                <w:sz w:val="24"/>
                <w:szCs w:val="24"/>
              </w:rPr>
              <w:t>/DH_064103</w:t>
            </w:r>
          </w:p>
          <w:p w:rsidR="00E101B3" w:rsidRPr="0036044F" w:rsidRDefault="00E101B3" w:rsidP="00C46EA6">
            <w:pPr>
              <w:jc w:val="both"/>
              <w:rPr>
                <w:rFonts w:ascii="Arial" w:hAnsi="Arial" w:cs="Arial"/>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lastRenderedPageBreak/>
              <w:t>2.9</w:t>
            </w:r>
          </w:p>
        </w:tc>
        <w:tc>
          <w:tcPr>
            <w:tcW w:w="8843" w:type="dxa"/>
          </w:tcPr>
          <w:p w:rsidR="00E101B3" w:rsidRPr="0036044F" w:rsidRDefault="00E101B3" w:rsidP="00C46EA6">
            <w:pPr>
              <w:pStyle w:val="BodyText"/>
              <w:jc w:val="left"/>
              <w:rPr>
                <w:rFonts w:ascii="Arial" w:hAnsi="Arial" w:cs="Arial"/>
                <w:sz w:val="24"/>
                <w:szCs w:val="24"/>
                <w:lang w:val="en-GB"/>
              </w:rPr>
            </w:pPr>
            <w:r w:rsidRPr="0036044F">
              <w:rPr>
                <w:rFonts w:ascii="Arial" w:hAnsi="Arial" w:cs="Arial"/>
                <w:sz w:val="24"/>
                <w:szCs w:val="24"/>
              </w:rPr>
              <w:t xml:space="preserve">Department of Health, World Class Commissioning Competencies, December 2007, </w:t>
            </w:r>
            <w:hyperlink r:id="rId13" w:history="1">
              <w:r w:rsidRPr="0036044F">
                <w:rPr>
                  <w:rStyle w:val="Hyperlink"/>
                  <w:rFonts w:ascii="Arial" w:hAnsi="Arial" w:cs="Arial"/>
                  <w:sz w:val="24"/>
                  <w:szCs w:val="24"/>
                </w:rPr>
                <w:t>http://www.dh.gov.uk/en/Publicationsandstatistics/</w:t>
              </w:r>
            </w:hyperlink>
          </w:p>
          <w:p w:rsidR="00E101B3" w:rsidRPr="0036044F" w:rsidRDefault="00E101B3" w:rsidP="00C46EA6">
            <w:pPr>
              <w:pStyle w:val="BodyText"/>
              <w:jc w:val="left"/>
              <w:rPr>
                <w:rFonts w:ascii="Arial" w:hAnsi="Arial" w:cs="Arial"/>
                <w:sz w:val="24"/>
                <w:szCs w:val="24"/>
              </w:rPr>
            </w:pPr>
            <w:r w:rsidRPr="0036044F">
              <w:rPr>
                <w:rFonts w:ascii="Arial" w:hAnsi="Arial" w:cs="Arial"/>
                <w:sz w:val="24"/>
                <w:szCs w:val="24"/>
              </w:rPr>
              <w:t>Publications/</w:t>
            </w:r>
            <w:proofErr w:type="spellStart"/>
            <w:r w:rsidRPr="0036044F">
              <w:rPr>
                <w:rFonts w:ascii="Arial" w:hAnsi="Arial" w:cs="Arial"/>
                <w:sz w:val="24"/>
                <w:szCs w:val="24"/>
              </w:rPr>
              <w:t>PublicationsPolicyAndGuidance</w:t>
            </w:r>
            <w:proofErr w:type="spellEnd"/>
            <w:r w:rsidRPr="0036044F">
              <w:rPr>
                <w:rFonts w:ascii="Arial" w:hAnsi="Arial" w:cs="Arial"/>
                <w:sz w:val="24"/>
                <w:szCs w:val="24"/>
              </w:rPr>
              <w:t>/DH_080958</w:t>
            </w:r>
          </w:p>
          <w:p w:rsidR="00E101B3" w:rsidRPr="0036044F" w:rsidRDefault="00E101B3" w:rsidP="00C46EA6">
            <w:pPr>
              <w:jc w:val="both"/>
              <w:rPr>
                <w:rFonts w:ascii="Arial" w:hAnsi="Arial" w:cs="Arial"/>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t>2.10</w:t>
            </w:r>
          </w:p>
        </w:tc>
        <w:tc>
          <w:tcPr>
            <w:tcW w:w="8843" w:type="dxa"/>
          </w:tcPr>
          <w:p w:rsidR="00E101B3" w:rsidRPr="0036044F" w:rsidRDefault="00E101B3" w:rsidP="00C46EA6">
            <w:pPr>
              <w:pStyle w:val="BodyText"/>
              <w:jc w:val="left"/>
              <w:rPr>
                <w:rFonts w:ascii="Arial" w:hAnsi="Arial" w:cs="Arial"/>
                <w:sz w:val="24"/>
                <w:szCs w:val="24"/>
                <w:lang w:val="en-GB"/>
              </w:rPr>
            </w:pPr>
            <w:r w:rsidRPr="0036044F">
              <w:rPr>
                <w:rFonts w:ascii="Arial" w:hAnsi="Arial" w:cs="Arial"/>
                <w:sz w:val="24"/>
                <w:szCs w:val="24"/>
              </w:rPr>
              <w:t xml:space="preserve">Department of Health, The NHS Constitution for England, July 2009,  </w:t>
            </w:r>
            <w:hyperlink r:id="rId14" w:history="1">
              <w:r w:rsidRPr="0036044F">
                <w:rPr>
                  <w:rStyle w:val="Hyperlink"/>
                  <w:rFonts w:ascii="Arial" w:hAnsi="Arial" w:cs="Arial"/>
                  <w:sz w:val="24"/>
                  <w:szCs w:val="24"/>
                </w:rPr>
                <w:t>http://www.dh.gov.uk/en/Publicationsandstatistics/</w:t>
              </w:r>
            </w:hyperlink>
          </w:p>
          <w:p w:rsidR="00E101B3" w:rsidRPr="0036044F" w:rsidRDefault="00E101B3" w:rsidP="00C46EA6">
            <w:pPr>
              <w:pStyle w:val="BodyText"/>
              <w:jc w:val="left"/>
              <w:rPr>
                <w:rFonts w:ascii="Arial" w:hAnsi="Arial" w:cs="Arial"/>
                <w:sz w:val="24"/>
                <w:szCs w:val="24"/>
              </w:rPr>
            </w:pPr>
            <w:r w:rsidRPr="0036044F">
              <w:rPr>
                <w:rFonts w:ascii="Arial" w:hAnsi="Arial" w:cs="Arial"/>
                <w:sz w:val="24"/>
                <w:szCs w:val="24"/>
              </w:rPr>
              <w:t>Publications/</w:t>
            </w:r>
            <w:proofErr w:type="spellStart"/>
            <w:r w:rsidRPr="0036044F">
              <w:rPr>
                <w:rFonts w:ascii="Arial" w:hAnsi="Arial" w:cs="Arial"/>
                <w:sz w:val="24"/>
                <w:szCs w:val="24"/>
              </w:rPr>
              <w:t>PublicationsPolicyAndGuidance</w:t>
            </w:r>
            <w:proofErr w:type="spellEnd"/>
            <w:r w:rsidRPr="0036044F">
              <w:rPr>
                <w:rFonts w:ascii="Arial" w:hAnsi="Arial" w:cs="Arial"/>
                <w:sz w:val="24"/>
                <w:szCs w:val="24"/>
              </w:rPr>
              <w:t>/DH_093419</w:t>
            </w:r>
          </w:p>
          <w:p w:rsidR="00E101B3" w:rsidRPr="0036044F" w:rsidRDefault="00E101B3" w:rsidP="00C46EA6">
            <w:pPr>
              <w:jc w:val="both"/>
              <w:rPr>
                <w:rFonts w:ascii="Arial" w:hAnsi="Arial" w:cs="Arial"/>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t>2.11</w:t>
            </w:r>
          </w:p>
        </w:tc>
        <w:tc>
          <w:tcPr>
            <w:tcW w:w="8843" w:type="dxa"/>
          </w:tcPr>
          <w:p w:rsidR="00E101B3" w:rsidRPr="0036044F" w:rsidRDefault="00E101B3" w:rsidP="00C46EA6">
            <w:pPr>
              <w:autoSpaceDE w:val="0"/>
              <w:autoSpaceDN w:val="0"/>
              <w:adjustRightInd w:val="0"/>
              <w:rPr>
                <w:rFonts w:ascii="Arial" w:hAnsi="Arial" w:cs="Arial"/>
              </w:rPr>
            </w:pPr>
            <w:r w:rsidRPr="0036044F">
              <w:rPr>
                <w:rFonts w:ascii="Arial" w:hAnsi="Arial" w:cs="Arial"/>
              </w:rPr>
              <w:t>The National Prescribing Centre, Supporting rational local decision-making about medicines (and treatments), February 2009, http://www.npc.co.uk/policy/resources/handbook_complete.pdf</w:t>
            </w:r>
          </w:p>
          <w:p w:rsidR="00E101B3" w:rsidRPr="0036044F" w:rsidRDefault="00E101B3" w:rsidP="00C46EA6">
            <w:pPr>
              <w:jc w:val="both"/>
              <w:rPr>
                <w:rFonts w:ascii="Arial" w:hAnsi="Arial" w:cs="Arial"/>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t>2.12</w:t>
            </w:r>
          </w:p>
        </w:tc>
        <w:tc>
          <w:tcPr>
            <w:tcW w:w="8843" w:type="dxa"/>
          </w:tcPr>
          <w:p w:rsidR="00E101B3" w:rsidRPr="0036044F" w:rsidRDefault="00E101B3" w:rsidP="00C46EA6">
            <w:pPr>
              <w:pStyle w:val="BodyText"/>
              <w:jc w:val="left"/>
              <w:rPr>
                <w:rFonts w:ascii="Arial" w:hAnsi="Arial" w:cs="Arial"/>
                <w:sz w:val="24"/>
                <w:szCs w:val="24"/>
              </w:rPr>
            </w:pPr>
            <w:r w:rsidRPr="0036044F">
              <w:rPr>
                <w:rFonts w:ascii="Arial" w:hAnsi="Arial" w:cs="Arial"/>
                <w:sz w:val="24"/>
                <w:szCs w:val="24"/>
              </w:rPr>
              <w:t>NHS Confederation Priority Setting Series, 2008, http://www.nhsconfed.org/publications/prioritysetting/Pages/Prioritysetting.aspx</w:t>
            </w:r>
          </w:p>
          <w:p w:rsidR="00E101B3" w:rsidRPr="0036044F" w:rsidRDefault="00E101B3" w:rsidP="00C46EA6">
            <w:pPr>
              <w:jc w:val="both"/>
              <w:rPr>
                <w:rFonts w:ascii="Arial" w:hAnsi="Arial" w:cs="Arial"/>
                <w:bCs/>
              </w:rPr>
            </w:pPr>
          </w:p>
        </w:tc>
      </w:tr>
    </w:tbl>
    <w:p w:rsidR="004013E7" w:rsidRDefault="004013E7" w:rsidP="00912CC5"/>
    <w:sectPr w:rsidR="004013E7" w:rsidSect="00B259DC">
      <w:footerReference w:type="default" r:id="rId1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E57" w:rsidRDefault="00C00E57" w:rsidP="00C00E57">
      <w:r>
        <w:separator/>
      </w:r>
    </w:p>
  </w:endnote>
  <w:endnote w:type="continuationSeparator" w:id="0">
    <w:p w:rsidR="00C00E57" w:rsidRDefault="00C00E57" w:rsidP="00C0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935" w:rsidRDefault="00B8642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w:t>
    </w:r>
    <w:r w:rsidR="006C4F9C">
      <w:rPr>
        <w:rFonts w:asciiTheme="majorHAnsi" w:eastAsiaTheme="majorEastAsia" w:hAnsiTheme="majorHAnsi" w:cstheme="majorBidi"/>
      </w:rPr>
      <w:t>anuary 2018</w:t>
    </w:r>
    <w:r w:rsidR="00692935">
      <w:rPr>
        <w:rFonts w:asciiTheme="majorHAnsi" w:eastAsiaTheme="majorEastAsia" w:hAnsiTheme="majorHAnsi" w:cstheme="majorBidi"/>
      </w:rPr>
      <w:ptab w:relativeTo="margin" w:alignment="right" w:leader="none"/>
    </w:r>
    <w:r w:rsidR="00692935">
      <w:rPr>
        <w:rFonts w:asciiTheme="majorHAnsi" w:eastAsiaTheme="majorEastAsia" w:hAnsiTheme="majorHAnsi" w:cstheme="majorBidi"/>
      </w:rPr>
      <w:t xml:space="preserve">Page </w:t>
    </w:r>
    <w:r w:rsidR="00692935">
      <w:rPr>
        <w:rFonts w:asciiTheme="minorHAnsi" w:eastAsiaTheme="minorEastAsia" w:hAnsiTheme="minorHAnsi" w:cstheme="minorBidi"/>
      </w:rPr>
      <w:fldChar w:fldCharType="begin"/>
    </w:r>
    <w:r w:rsidR="00692935">
      <w:instrText xml:space="preserve"> PAGE   \* MERGEFORMAT </w:instrText>
    </w:r>
    <w:r w:rsidR="00692935">
      <w:rPr>
        <w:rFonts w:asciiTheme="minorHAnsi" w:eastAsiaTheme="minorEastAsia" w:hAnsiTheme="minorHAnsi" w:cstheme="minorBidi"/>
      </w:rPr>
      <w:fldChar w:fldCharType="separate"/>
    </w:r>
    <w:r w:rsidR="006C4F9C" w:rsidRPr="006C4F9C">
      <w:rPr>
        <w:rFonts w:asciiTheme="majorHAnsi" w:eastAsiaTheme="majorEastAsia" w:hAnsiTheme="majorHAnsi" w:cstheme="majorBidi"/>
        <w:noProof/>
      </w:rPr>
      <w:t>4</w:t>
    </w:r>
    <w:r w:rsidR="00692935">
      <w:rPr>
        <w:rFonts w:asciiTheme="majorHAnsi" w:eastAsiaTheme="majorEastAsia" w:hAnsiTheme="majorHAnsi" w:cstheme="majorBidi"/>
        <w:noProof/>
      </w:rPr>
      <w:fldChar w:fldCharType="end"/>
    </w:r>
  </w:p>
  <w:p w:rsidR="00C00E57" w:rsidRDefault="00C00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E57" w:rsidRDefault="00C00E57" w:rsidP="00C00E57">
      <w:r>
        <w:separator/>
      </w:r>
    </w:p>
  </w:footnote>
  <w:footnote w:type="continuationSeparator" w:id="0">
    <w:p w:rsidR="00C00E57" w:rsidRDefault="00C00E57" w:rsidP="00C00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B2FFD"/>
    <w:multiLevelType w:val="hybridMultilevel"/>
    <w:tmpl w:val="52F0198E"/>
    <w:lvl w:ilvl="0" w:tplc="3FCAB8EC">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2A275CCB"/>
    <w:multiLevelType w:val="multilevel"/>
    <w:tmpl w:val="23FCF5B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40DE34EB"/>
    <w:multiLevelType w:val="multilevel"/>
    <w:tmpl w:val="AC1C375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50494065"/>
    <w:multiLevelType w:val="hybridMultilevel"/>
    <w:tmpl w:val="3DA42F6C"/>
    <w:lvl w:ilvl="0" w:tplc="3FCAB8EC">
      <w:start w:val="1"/>
      <w:numFmt w:val="bullet"/>
      <w:lvlText w:val=""/>
      <w:lvlJc w:val="left"/>
      <w:pPr>
        <w:tabs>
          <w:tab w:val="num" w:pos="1724"/>
        </w:tabs>
        <w:ind w:left="172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
    <w:nsid w:val="66D83D8C"/>
    <w:multiLevelType w:val="multilevel"/>
    <w:tmpl w:val="AC48CED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6C4C5F14"/>
    <w:multiLevelType w:val="hybridMultilevel"/>
    <w:tmpl w:val="7EAA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E33A76"/>
    <w:multiLevelType w:val="hybridMultilevel"/>
    <w:tmpl w:val="F634BF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1B3"/>
    <w:rsid w:val="00332111"/>
    <w:rsid w:val="0035005F"/>
    <w:rsid w:val="004013E7"/>
    <w:rsid w:val="004D1FE2"/>
    <w:rsid w:val="00533B3F"/>
    <w:rsid w:val="00692935"/>
    <w:rsid w:val="006C4F9C"/>
    <w:rsid w:val="008B5589"/>
    <w:rsid w:val="008E4A18"/>
    <w:rsid w:val="00912CC5"/>
    <w:rsid w:val="009E7CA3"/>
    <w:rsid w:val="00AD5F4F"/>
    <w:rsid w:val="00B259DC"/>
    <w:rsid w:val="00B8642B"/>
    <w:rsid w:val="00C00E57"/>
    <w:rsid w:val="00C11898"/>
    <w:rsid w:val="00CC76F8"/>
    <w:rsid w:val="00CF7D71"/>
    <w:rsid w:val="00E101B3"/>
    <w:rsid w:val="00F070AE"/>
    <w:rsid w:val="00F568EF"/>
    <w:rsid w:val="00F62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1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1B3"/>
    <w:pPr>
      <w:tabs>
        <w:tab w:val="center" w:pos="4513"/>
        <w:tab w:val="right" w:pos="9026"/>
      </w:tabs>
    </w:pPr>
    <w:rPr>
      <w:sz w:val="20"/>
      <w:szCs w:val="20"/>
      <w:lang w:eastAsia="en-US"/>
    </w:rPr>
  </w:style>
  <w:style w:type="character" w:customStyle="1" w:styleId="HeaderChar">
    <w:name w:val="Header Char"/>
    <w:basedOn w:val="DefaultParagraphFont"/>
    <w:link w:val="Header"/>
    <w:uiPriority w:val="99"/>
    <w:rsid w:val="00E101B3"/>
    <w:rPr>
      <w:lang w:eastAsia="en-US"/>
    </w:rPr>
  </w:style>
  <w:style w:type="paragraph" w:styleId="BodyText">
    <w:name w:val="Body Text"/>
    <w:basedOn w:val="Normal"/>
    <w:link w:val="BodyTextChar"/>
    <w:uiPriority w:val="99"/>
    <w:rsid w:val="00E101B3"/>
    <w:pPr>
      <w:jc w:val="both"/>
    </w:pPr>
    <w:rPr>
      <w:sz w:val="20"/>
      <w:szCs w:val="20"/>
      <w:lang w:val="x-none" w:eastAsia="en-US"/>
    </w:rPr>
  </w:style>
  <w:style w:type="character" w:customStyle="1" w:styleId="BodyTextChar">
    <w:name w:val="Body Text Char"/>
    <w:basedOn w:val="DefaultParagraphFont"/>
    <w:link w:val="BodyText"/>
    <w:uiPriority w:val="99"/>
    <w:rsid w:val="00E101B3"/>
    <w:rPr>
      <w:lang w:val="x-none" w:eastAsia="en-US"/>
    </w:rPr>
  </w:style>
  <w:style w:type="character" w:styleId="Hyperlink">
    <w:name w:val="Hyperlink"/>
    <w:rsid w:val="00E101B3"/>
    <w:rPr>
      <w:color w:val="0000FF"/>
      <w:u w:val="single"/>
    </w:rPr>
  </w:style>
  <w:style w:type="paragraph" w:styleId="BalloonText">
    <w:name w:val="Balloon Text"/>
    <w:basedOn w:val="Normal"/>
    <w:link w:val="BalloonTextChar"/>
    <w:rsid w:val="00332111"/>
    <w:rPr>
      <w:rFonts w:ascii="Tahoma" w:hAnsi="Tahoma" w:cs="Tahoma"/>
      <w:sz w:val="16"/>
      <w:szCs w:val="16"/>
    </w:rPr>
  </w:style>
  <w:style w:type="character" w:customStyle="1" w:styleId="BalloonTextChar">
    <w:name w:val="Balloon Text Char"/>
    <w:basedOn w:val="DefaultParagraphFont"/>
    <w:link w:val="BalloonText"/>
    <w:rsid w:val="00332111"/>
    <w:rPr>
      <w:rFonts w:ascii="Tahoma" w:hAnsi="Tahoma" w:cs="Tahoma"/>
      <w:sz w:val="16"/>
      <w:szCs w:val="16"/>
    </w:rPr>
  </w:style>
  <w:style w:type="paragraph" w:styleId="Footer">
    <w:name w:val="footer"/>
    <w:basedOn w:val="Normal"/>
    <w:link w:val="FooterChar"/>
    <w:uiPriority w:val="99"/>
    <w:rsid w:val="00C00E57"/>
    <w:pPr>
      <w:tabs>
        <w:tab w:val="center" w:pos="4513"/>
        <w:tab w:val="right" w:pos="9026"/>
      </w:tabs>
    </w:pPr>
  </w:style>
  <w:style w:type="character" w:customStyle="1" w:styleId="FooterChar">
    <w:name w:val="Footer Char"/>
    <w:basedOn w:val="DefaultParagraphFont"/>
    <w:link w:val="Footer"/>
    <w:uiPriority w:val="99"/>
    <w:rsid w:val="00C00E5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1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1B3"/>
    <w:pPr>
      <w:tabs>
        <w:tab w:val="center" w:pos="4513"/>
        <w:tab w:val="right" w:pos="9026"/>
      </w:tabs>
    </w:pPr>
    <w:rPr>
      <w:sz w:val="20"/>
      <w:szCs w:val="20"/>
      <w:lang w:eastAsia="en-US"/>
    </w:rPr>
  </w:style>
  <w:style w:type="character" w:customStyle="1" w:styleId="HeaderChar">
    <w:name w:val="Header Char"/>
    <w:basedOn w:val="DefaultParagraphFont"/>
    <w:link w:val="Header"/>
    <w:uiPriority w:val="99"/>
    <w:rsid w:val="00E101B3"/>
    <w:rPr>
      <w:lang w:eastAsia="en-US"/>
    </w:rPr>
  </w:style>
  <w:style w:type="paragraph" w:styleId="BodyText">
    <w:name w:val="Body Text"/>
    <w:basedOn w:val="Normal"/>
    <w:link w:val="BodyTextChar"/>
    <w:uiPriority w:val="99"/>
    <w:rsid w:val="00E101B3"/>
    <w:pPr>
      <w:jc w:val="both"/>
    </w:pPr>
    <w:rPr>
      <w:sz w:val="20"/>
      <w:szCs w:val="20"/>
      <w:lang w:val="x-none" w:eastAsia="en-US"/>
    </w:rPr>
  </w:style>
  <w:style w:type="character" w:customStyle="1" w:styleId="BodyTextChar">
    <w:name w:val="Body Text Char"/>
    <w:basedOn w:val="DefaultParagraphFont"/>
    <w:link w:val="BodyText"/>
    <w:uiPriority w:val="99"/>
    <w:rsid w:val="00E101B3"/>
    <w:rPr>
      <w:lang w:val="x-none" w:eastAsia="en-US"/>
    </w:rPr>
  </w:style>
  <w:style w:type="character" w:styleId="Hyperlink">
    <w:name w:val="Hyperlink"/>
    <w:rsid w:val="00E101B3"/>
    <w:rPr>
      <w:color w:val="0000FF"/>
      <w:u w:val="single"/>
    </w:rPr>
  </w:style>
  <w:style w:type="paragraph" w:styleId="BalloonText">
    <w:name w:val="Balloon Text"/>
    <w:basedOn w:val="Normal"/>
    <w:link w:val="BalloonTextChar"/>
    <w:rsid w:val="00332111"/>
    <w:rPr>
      <w:rFonts w:ascii="Tahoma" w:hAnsi="Tahoma" w:cs="Tahoma"/>
      <w:sz w:val="16"/>
      <w:szCs w:val="16"/>
    </w:rPr>
  </w:style>
  <w:style w:type="character" w:customStyle="1" w:styleId="BalloonTextChar">
    <w:name w:val="Balloon Text Char"/>
    <w:basedOn w:val="DefaultParagraphFont"/>
    <w:link w:val="BalloonText"/>
    <w:rsid w:val="00332111"/>
    <w:rPr>
      <w:rFonts w:ascii="Tahoma" w:hAnsi="Tahoma" w:cs="Tahoma"/>
      <w:sz w:val="16"/>
      <w:szCs w:val="16"/>
    </w:rPr>
  </w:style>
  <w:style w:type="paragraph" w:styleId="Footer">
    <w:name w:val="footer"/>
    <w:basedOn w:val="Normal"/>
    <w:link w:val="FooterChar"/>
    <w:uiPriority w:val="99"/>
    <w:rsid w:val="00C00E57"/>
    <w:pPr>
      <w:tabs>
        <w:tab w:val="center" w:pos="4513"/>
        <w:tab w:val="right" w:pos="9026"/>
      </w:tabs>
    </w:pPr>
  </w:style>
  <w:style w:type="character" w:customStyle="1" w:styleId="FooterChar">
    <w:name w:val="Footer Char"/>
    <w:basedOn w:val="DefaultParagraphFont"/>
    <w:link w:val="Footer"/>
    <w:uiPriority w:val="99"/>
    <w:rsid w:val="00C00E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h.gov.uk/en/Publicationsandstatistic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h.gov.uk/en/Publicationsandstatistic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h.gov.uk/en/Researchanddevelopment/A-Z/DH_401645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h.gov.uk/en/Publicationsandstatistic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h.gov.uk/en/Publicationsand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B78DD-322F-4E91-B783-B9A009693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sue.meek</dc:creator>
  <cp:lastModifiedBy>Caroline Gr</cp:lastModifiedBy>
  <cp:revision>3</cp:revision>
  <cp:lastPrinted>2014-06-03T06:56:00Z</cp:lastPrinted>
  <dcterms:created xsi:type="dcterms:W3CDTF">2016-02-19T08:20:00Z</dcterms:created>
  <dcterms:modified xsi:type="dcterms:W3CDTF">2018-02-21T10:22:00Z</dcterms:modified>
</cp:coreProperties>
</file>