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765" w:rsidRDefault="006A1662">
      <w:pPr>
        <w:pStyle w:val="BodyText"/>
        <w:rPr>
          <w:rFonts w:ascii="Times New Roman"/>
          <w:sz w:val="20"/>
        </w:rPr>
      </w:pPr>
      <w:r>
        <w:rPr>
          <w:noProof/>
          <w:lang w:val="en-GB" w:eastAsia="en-GB"/>
        </w:rPr>
        <w:drawing>
          <wp:anchor distT="0" distB="0" distL="0" distR="0" simplePos="0" relativeHeight="251655680" behindDoc="0" locked="0" layoutInCell="1" allowOverlap="1">
            <wp:simplePos x="0" y="0"/>
            <wp:positionH relativeFrom="page">
              <wp:posOffset>4538345</wp:posOffset>
            </wp:positionH>
            <wp:positionV relativeFrom="page">
              <wp:posOffset>276860</wp:posOffset>
            </wp:positionV>
            <wp:extent cx="2959735" cy="10223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959735" cy="1022350"/>
                    </a:xfrm>
                    <a:prstGeom prst="rect">
                      <a:avLst/>
                    </a:prstGeom>
                  </pic:spPr>
                </pic:pic>
              </a:graphicData>
            </a:graphic>
          </wp:anchor>
        </w:drawing>
      </w:r>
    </w:p>
    <w:p w:rsidR="00381765" w:rsidRDefault="00381765">
      <w:pPr>
        <w:pStyle w:val="BodyText"/>
        <w:spacing w:before="6"/>
        <w:rPr>
          <w:rFonts w:ascii="Times New Roman"/>
          <w:sz w:val="16"/>
        </w:rPr>
      </w:pPr>
    </w:p>
    <w:p w:rsidR="00381765" w:rsidRDefault="006A1662">
      <w:pPr>
        <w:pStyle w:val="Heading1"/>
        <w:spacing w:before="93"/>
        <w:ind w:left="1898"/>
      </w:pPr>
      <w:r>
        <w:t>Breast reconstruction (cancer related indications and treatments)</w:t>
      </w:r>
    </w:p>
    <w:p w:rsidR="00381765" w:rsidRDefault="00381765">
      <w:pPr>
        <w:pStyle w:val="BodyText"/>
        <w:rPr>
          <w:b/>
          <w:sz w:val="20"/>
        </w:rPr>
      </w:pPr>
    </w:p>
    <w:p w:rsidR="00381765" w:rsidRDefault="00381765">
      <w:pPr>
        <w:pStyle w:val="BodyText"/>
        <w:spacing w:before="10"/>
        <w:rPr>
          <w:b/>
          <w:sz w:val="11"/>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4"/>
        <w:gridCol w:w="7154"/>
      </w:tblGrid>
      <w:tr w:rsidR="00381765">
        <w:trPr>
          <w:trHeight w:hRule="exact" w:val="768"/>
        </w:trPr>
        <w:tc>
          <w:tcPr>
            <w:tcW w:w="2094" w:type="dxa"/>
            <w:shd w:val="clear" w:color="auto" w:fill="D9D9D9"/>
          </w:tcPr>
          <w:p w:rsidR="00381765" w:rsidRDefault="006A1662">
            <w:pPr>
              <w:pStyle w:val="TableParagraph"/>
              <w:spacing w:line="240" w:lineRule="auto"/>
              <w:ind w:left="104" w:right="160"/>
              <w:rPr>
                <w:b/>
                <w:sz w:val="24"/>
              </w:rPr>
            </w:pPr>
            <w:r>
              <w:rPr>
                <w:b/>
                <w:sz w:val="24"/>
              </w:rPr>
              <w:t>Commissioning decision</w:t>
            </w:r>
          </w:p>
        </w:tc>
        <w:tc>
          <w:tcPr>
            <w:tcW w:w="7154" w:type="dxa"/>
          </w:tcPr>
          <w:p w:rsidR="00381765" w:rsidRDefault="006A1662">
            <w:pPr>
              <w:pStyle w:val="TableParagraph"/>
              <w:spacing w:line="240" w:lineRule="auto"/>
              <w:ind w:right="187"/>
              <w:rPr>
                <w:b/>
              </w:rPr>
            </w:pPr>
            <w:r>
              <w:rPr>
                <w:b/>
              </w:rPr>
              <w:t>The CCG will provide funding for cosmetic/reconstructive breast surgery following initial cancer surgery for patients who meet the criteria defined within this policy.</w:t>
            </w:r>
          </w:p>
        </w:tc>
      </w:tr>
    </w:tbl>
    <w:p w:rsidR="00381765" w:rsidRDefault="00381765">
      <w:pPr>
        <w:pStyle w:val="BodyText"/>
        <w:spacing w:before="8"/>
        <w:rPr>
          <w:b/>
          <w:sz w:val="26"/>
        </w:rPr>
      </w:pPr>
    </w:p>
    <w:p w:rsidR="00381765" w:rsidRDefault="006A1662">
      <w:pPr>
        <w:pStyle w:val="Heading1"/>
      </w:pPr>
      <w:r>
        <w:rPr>
          <w:noProof/>
          <w:lang w:val="en-GB" w:eastAsia="en-GB"/>
        </w:rPr>
        <mc:AlternateContent>
          <mc:Choice Requires="wps">
            <w:drawing>
              <wp:anchor distT="0" distB="0" distL="0" distR="0" simplePos="0" relativeHeight="251656704" behindDoc="0" locked="0" layoutInCell="1" allowOverlap="1">
                <wp:simplePos x="0" y="0"/>
                <wp:positionH relativeFrom="page">
                  <wp:posOffset>845820</wp:posOffset>
                </wp:positionH>
                <wp:positionV relativeFrom="paragraph">
                  <wp:posOffset>212090</wp:posOffset>
                </wp:positionV>
                <wp:extent cx="5869940" cy="1788160"/>
                <wp:effectExtent l="7620" t="12065" r="8890" b="9525"/>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7881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81765" w:rsidRDefault="006A1662">
                            <w:pPr>
                              <w:pStyle w:val="BodyText"/>
                              <w:ind w:left="103" w:right="427"/>
                            </w:pPr>
                            <w:r>
                              <w:t xml:space="preserve">Cosmetic/reconstructive surgery to reduce discomfort and improve appearance following initial cancer surgery will be funded if it involves a maximum of four </w:t>
                            </w:r>
                            <w:proofErr w:type="gramStart"/>
                            <w:r>
                              <w:t xml:space="preserve">procedures </w:t>
                            </w:r>
                            <w:r w:rsidR="00CB0F20">
                              <w:t>.</w:t>
                            </w:r>
                            <w:proofErr w:type="gramEnd"/>
                            <w:r>
                              <w:t xml:space="preserve"> This includes any surgery to the contralateral side.</w:t>
                            </w:r>
                          </w:p>
                          <w:p w:rsidR="00381765" w:rsidRDefault="00381765">
                            <w:pPr>
                              <w:pStyle w:val="BodyText"/>
                              <w:spacing w:before="6"/>
                              <w:rPr>
                                <w:b/>
                              </w:rPr>
                            </w:pPr>
                          </w:p>
                          <w:p w:rsidR="00381765" w:rsidRDefault="006A1662">
                            <w:pPr>
                              <w:pStyle w:val="BodyText"/>
                              <w:ind w:left="103" w:right="426"/>
                            </w:pPr>
                            <w:r>
                              <w:t xml:space="preserve">Scar revision will be funded where the patient is unable to wear </w:t>
                            </w:r>
                            <w:proofErr w:type="gramStart"/>
                            <w:r>
                              <w:t>a prosthesis</w:t>
                            </w:r>
                            <w:proofErr w:type="gramEnd"/>
                            <w:r>
                              <w:t>, or has other significant problems related to previous cancer surgery</w:t>
                            </w:r>
                            <w:r w:rsidR="00CB0F20">
                              <w:t>.</w:t>
                            </w:r>
                          </w:p>
                          <w:p w:rsidR="00381765" w:rsidRDefault="00381765">
                            <w:pPr>
                              <w:pStyle w:val="BodyText"/>
                              <w:spacing w:before="9"/>
                              <w:rPr>
                                <w:b/>
                                <w:sz w:val="21"/>
                              </w:rPr>
                            </w:pPr>
                          </w:p>
                          <w:p w:rsidR="00381765" w:rsidRPr="00A83ECE" w:rsidRDefault="006A1662">
                            <w:pPr>
                              <w:pStyle w:val="BodyText"/>
                              <w:spacing w:line="244" w:lineRule="auto"/>
                              <w:ind w:left="103" w:right="635"/>
                              <w:rPr>
                                <w:color w:val="000000" w:themeColor="text1"/>
                              </w:rPr>
                            </w:pPr>
                            <w:r>
                              <w:t xml:space="preserve">Procedures requested beyond </w:t>
                            </w:r>
                            <w:r w:rsidRPr="008A1E4B">
                              <w:t xml:space="preserve">the </w:t>
                            </w:r>
                            <w:r>
                              <w:t xml:space="preserve">fifth or subsequent procedures will require </w:t>
                            </w:r>
                            <w:r>
                              <w:rPr>
                                <w:u w:val="single"/>
                              </w:rPr>
                              <w:t xml:space="preserve">funding approval </w:t>
                            </w:r>
                            <w:r>
                              <w:t xml:space="preserve">from Gloucestershire Clinical Commissioning Group. </w:t>
                            </w:r>
                            <w:r w:rsidRPr="00A83ECE">
                              <w:rPr>
                                <w:color w:val="000000" w:themeColor="text1"/>
                              </w:rPr>
                              <w:t xml:space="preserve">All cases </w:t>
                            </w:r>
                            <w:r w:rsidR="00CB0F20">
                              <w:rPr>
                                <w:color w:val="000000" w:themeColor="text1"/>
                              </w:rPr>
                              <w:t>prior to August 2015 are exempt.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6.6pt;margin-top:16.7pt;width:462.2pt;height:140.8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" filled="f" strokeweight=".48pt">
                <v:textbox inset="0,0,0,0">
                  <w:txbxContent>
                    <w:p w:rsidR="00381765" w:rsidRDefault="006A1662">
                      <w:pPr>
                        <w:pStyle w:val="BodyText"/>
                        <w:ind w:left="103" w:right="427"/>
                      </w:pPr>
                      <w:r>
                        <w:t xml:space="preserve">Cosmetic/reconstructive surgery to reduce discomfort and improve appearance following initial cancer surgery will be funded if it involves a maximum of four </w:t>
                      </w:r>
                      <w:proofErr w:type="gramStart"/>
                      <w:r>
                        <w:t xml:space="preserve">procedures </w:t>
                      </w:r>
                      <w:r w:rsidR="00CB0F20">
                        <w:t>.</w:t>
                      </w:r>
                      <w:proofErr w:type="gramEnd"/>
                      <w:r>
                        <w:t xml:space="preserve"> This includes any surgery to the contralateral side.</w:t>
                      </w:r>
                    </w:p>
                    <w:p w:rsidR="00381765" w:rsidRDefault="00381765">
                      <w:pPr>
                        <w:pStyle w:val="BodyText"/>
                        <w:spacing w:before="6"/>
                        <w:rPr>
                          <w:b/>
                        </w:rPr>
                      </w:pPr>
                    </w:p>
                    <w:p w:rsidR="00381765" w:rsidRDefault="006A1662">
                      <w:pPr>
                        <w:pStyle w:val="BodyText"/>
                        <w:ind w:left="103" w:right="426"/>
                      </w:pPr>
                      <w:r>
                        <w:t xml:space="preserve">Scar revision will be funded where the patient is unable to wear </w:t>
                      </w:r>
                      <w:proofErr w:type="gramStart"/>
                      <w:r>
                        <w:t>a prosthesis</w:t>
                      </w:r>
                      <w:proofErr w:type="gramEnd"/>
                      <w:r>
                        <w:t>, or has other significant problems related to previous cancer surgery</w:t>
                      </w:r>
                      <w:r w:rsidR="00CB0F20">
                        <w:t>.</w:t>
                      </w:r>
                    </w:p>
                    <w:p w:rsidR="00381765" w:rsidRDefault="00381765">
                      <w:pPr>
                        <w:pStyle w:val="BodyText"/>
                        <w:spacing w:before="9"/>
                        <w:rPr>
                          <w:b/>
                          <w:sz w:val="21"/>
                        </w:rPr>
                      </w:pPr>
                    </w:p>
                    <w:p w:rsidR="00381765" w:rsidRPr="00A83ECE" w:rsidRDefault="006A1662">
                      <w:pPr>
                        <w:pStyle w:val="BodyText"/>
                        <w:spacing w:line="244" w:lineRule="auto"/>
                        <w:ind w:left="103" w:right="635"/>
                        <w:rPr>
                          <w:color w:val="000000" w:themeColor="text1"/>
                        </w:rPr>
                      </w:pPr>
                      <w:r>
                        <w:t xml:space="preserve">Procedures requested beyond </w:t>
                      </w:r>
                      <w:r w:rsidRPr="008A1E4B">
                        <w:t xml:space="preserve">the </w:t>
                      </w:r>
                      <w:r>
                        <w:t xml:space="preserve">fifth or subsequent procedures will require </w:t>
                      </w:r>
                      <w:r>
                        <w:rPr>
                          <w:u w:val="single"/>
                        </w:rPr>
                        <w:t xml:space="preserve">funding approval </w:t>
                      </w:r>
                      <w:r>
                        <w:t xml:space="preserve">from Gloucestershire Clinical Commissioning Group. </w:t>
                      </w:r>
                      <w:r w:rsidRPr="00A83ECE">
                        <w:rPr>
                          <w:color w:val="000000" w:themeColor="text1"/>
                        </w:rPr>
                        <w:t xml:space="preserve">All cases </w:t>
                      </w:r>
                      <w:r w:rsidR="00CB0F20">
                        <w:rPr>
                          <w:color w:val="000000" w:themeColor="text1"/>
                        </w:rPr>
                        <w:t>prior to August 2015 are exempt.</w:t>
                      </w:r>
                      <w:bookmarkStart w:id="1" w:name="_GoBack"/>
                      <w:bookmarkEnd w:id="1"/>
                    </w:p>
                  </w:txbxContent>
                </v:textbox>
                <w10:wrap type="topAndBottom" anchorx="page"/>
              </v:shape>
            </w:pict>
          </mc:Fallback>
        </mc:AlternateContent>
      </w:r>
      <w:r>
        <w:t>Policy Statement:</w:t>
      </w:r>
    </w:p>
    <w:p w:rsidR="00381765" w:rsidRDefault="006A1662">
      <w:pPr>
        <w:spacing w:before="230" w:after="47"/>
        <w:ind w:left="1120"/>
        <w:rPr>
          <w:b/>
          <w:sz w:val="24"/>
        </w:rPr>
      </w:pPr>
      <w:r>
        <w:rPr>
          <w:b/>
          <w:sz w:val="24"/>
        </w:rPr>
        <w:t>Rationale:</w:t>
      </w:r>
    </w:p>
    <w:p w:rsidR="00381765" w:rsidRDefault="006A1662">
      <w:pPr>
        <w:ind w:left="1007"/>
        <w:rPr>
          <w:sz w:val="20"/>
        </w:rPr>
      </w:pPr>
      <w:r>
        <w:rPr>
          <w:rFonts w:ascii="Times New Roman"/>
          <w:spacing w:val="-49"/>
          <w:sz w:val="20"/>
        </w:rPr>
        <w:t xml:space="preserve"> </w:t>
      </w:r>
      <w:r>
        <w:rPr>
          <w:noProof/>
          <w:spacing w:val="-49"/>
          <w:sz w:val="20"/>
          <w:lang w:val="en-GB" w:eastAsia="en-GB"/>
        </w:rPr>
        <mc:AlternateContent>
          <mc:Choice Requires="wps">
            <w:drawing>
              <wp:inline distT="0" distB="0" distL="0" distR="0">
                <wp:extent cx="5869940" cy="504825"/>
                <wp:effectExtent l="9525" t="9525" r="6985" b="9525"/>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5048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81765" w:rsidRDefault="006A1662">
                            <w:pPr>
                              <w:pStyle w:val="BodyText"/>
                              <w:spacing w:line="247" w:lineRule="auto"/>
                              <w:ind w:left="103" w:right="413"/>
                            </w:pPr>
                            <w:r>
                              <w:t>Four procedures are considered to be the usual maximum required to achieve acceptable results.</w:t>
                            </w:r>
                          </w:p>
                        </w:txbxContent>
                      </wps:txbx>
                      <wps:bodyPr rot="0" vert="horz" wrap="square" lIns="0" tIns="0" rIns="0" bIns="0" anchor="t" anchorCtr="0" upright="1">
                        <a:noAutofit/>
                      </wps:bodyPr>
                    </wps:wsp>
                  </a:graphicData>
                </a:graphic>
              </wp:inline>
            </w:drawing>
          </mc:Choice>
          <mc:Fallback>
            <w:pict>
              <v:shape id="Text Box 4" o:spid="_x0000_s1027" type="#_x0000_t202" style="width:462.2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D6hgIAAB8FAAAOAAAAZHJzL2Uyb0RvYy54bWysVG1v2yAQ/j5p/wHxPbWdOW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" filled="f" strokeweight=".48pt">
                <v:textbox inset="0,0,0,0">
                  <w:txbxContent>
                    <w:p w:rsidR="00381765" w:rsidRDefault="006A1662">
                      <w:pPr>
                        <w:pStyle w:val="BodyText"/>
                        <w:spacing w:line="247" w:lineRule="auto"/>
                        <w:ind w:left="103" w:right="413"/>
                      </w:pPr>
                      <w:r>
                        <w:t>Four procedures are considered to be the usual maximum r</w:t>
                      </w:r>
                      <w:r>
                        <w:t>equired to achieve acceptable results.</w:t>
                      </w:r>
                    </w:p>
                  </w:txbxContent>
                </v:textbox>
                <w10:anchorlock/>
              </v:shape>
            </w:pict>
          </mc:Fallback>
        </mc:AlternateContent>
      </w:r>
    </w:p>
    <w:p w:rsidR="00381765" w:rsidRDefault="006A1662">
      <w:pPr>
        <w:pStyle w:val="Heading1"/>
        <w:spacing w:before="219"/>
      </w:pPr>
      <w:r>
        <w:rPr>
          <w:noProof/>
          <w:lang w:val="en-GB" w:eastAsia="en-GB"/>
        </w:rPr>
        <mc:AlternateContent>
          <mc:Choice Requires="wps">
            <w:drawing>
              <wp:anchor distT="0" distB="0" distL="0" distR="0" simplePos="0" relativeHeight="251657728" behindDoc="0" locked="0" layoutInCell="1" allowOverlap="1">
                <wp:simplePos x="0" y="0"/>
                <wp:positionH relativeFrom="page">
                  <wp:posOffset>845820</wp:posOffset>
                </wp:positionH>
                <wp:positionV relativeFrom="paragraph">
                  <wp:posOffset>347980</wp:posOffset>
                </wp:positionV>
                <wp:extent cx="5869940" cy="2109470"/>
                <wp:effectExtent l="7620" t="5080" r="8890" b="9525"/>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2109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81765" w:rsidRDefault="006A1662">
                            <w:pPr>
                              <w:pStyle w:val="BodyText"/>
                              <w:ind w:left="103" w:right="169"/>
                            </w:pPr>
                            <w:r>
                              <w:t>In cancer patients, reconstructive surgery, including breast implants, is often necessary following initial cancer surgery, particularly in order to reconstruct the breast mound after a mastectomy (the surgical removal of the breast, often used to treat breast cancer). In some cases further surgical procedures may be required to achieve an acceptable result, and some patients may choose to delay this surgery for a number of years after the initial cancer surgery.</w:t>
                            </w:r>
                          </w:p>
                          <w:p w:rsidR="00381765" w:rsidRDefault="00381765">
                            <w:pPr>
                              <w:pStyle w:val="BodyText"/>
                              <w:spacing w:before="2"/>
                              <w:rPr>
                                <w:b/>
                              </w:rPr>
                            </w:pPr>
                          </w:p>
                          <w:p w:rsidR="00381765" w:rsidRDefault="006A1662">
                            <w:pPr>
                              <w:pStyle w:val="BodyText"/>
                              <w:ind w:left="103" w:right="218"/>
                            </w:pPr>
                            <w:r>
                              <w:t>Local doctors have agreed that generally 4 surgical procedures should be sufficient to achieve a good result (to include contralateral surgery if required), and that further procedures beyond this generally will not deliver sufficient benefit to justify the cost and risk of surgery. However, if your doctor believes that you would benefit from additional surgeries beyond this, the CCG will consider applications for funding on a case by case basis.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66.6pt;margin-top:27.4pt;width:462.2pt;height:166.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" filled="f" strokeweight=".48pt">
                <v:textbox inset="0,0,0,0">
                  <w:txbxContent>
                    <w:p w:rsidR="00381765" w:rsidRDefault="006A1662">
                      <w:pPr>
                        <w:pStyle w:val="BodyText"/>
                        <w:ind w:left="103" w:right="169"/>
                      </w:pPr>
                      <w:r>
                        <w:t>In cancer patients, reconstructive surgery, including breast implants, is often necessary following initial cancer surgery, particularly in order to re</w:t>
                      </w:r>
                      <w:r>
                        <w:t>construct the breast mound after a mastectomy (the surgical removal of the breast, often used to treat breast cancer). In some cases further surgical procedures may be required to achieve an acceptable result, and some patients may choose to delay this sur</w:t>
                      </w:r>
                      <w:r>
                        <w:t>gery for a number of years after the initial cancer surgery.</w:t>
                      </w:r>
                    </w:p>
                    <w:p w:rsidR="00381765" w:rsidRDefault="00381765">
                      <w:pPr>
                        <w:pStyle w:val="BodyText"/>
                        <w:spacing w:before="2"/>
                        <w:rPr>
                          <w:b/>
                        </w:rPr>
                      </w:pPr>
                    </w:p>
                    <w:p w:rsidR="00381765" w:rsidRDefault="006A1662">
                      <w:pPr>
                        <w:pStyle w:val="BodyText"/>
                        <w:ind w:left="103" w:right="218"/>
                      </w:pPr>
                      <w:r>
                        <w:t>Local doctors have agreed that generally 4 surgical procedures should be sufficient to achieve a good result (to include contralateral surgery if required), and that further procedures beyond this generally will not deliver sufficient benefit to justify th</w:t>
                      </w:r>
                      <w:r>
                        <w:t>e cost and risk of surgery. However, if your doctor believes that you would benefit from additional surgeries beyond this, the CCG will consider applications for funding on a case by case basis.</w:t>
                      </w:r>
                    </w:p>
                  </w:txbxContent>
                </v:textbox>
                <w10:wrap type="topAndBottom" anchorx="page"/>
              </v:shape>
            </w:pict>
          </mc:Fallback>
        </mc:AlternateContent>
      </w:r>
      <w:r>
        <w:t>Plain English Summary:</w:t>
      </w:r>
    </w:p>
    <w:p w:rsidR="00381765" w:rsidRDefault="006A1662">
      <w:pPr>
        <w:spacing w:before="226" w:after="45"/>
        <w:ind w:left="1120"/>
        <w:rPr>
          <w:b/>
          <w:sz w:val="24"/>
        </w:rPr>
      </w:pPr>
      <w:r>
        <w:rPr>
          <w:b/>
          <w:sz w:val="24"/>
        </w:rPr>
        <w:t>Evidence base:</w:t>
      </w:r>
    </w:p>
    <w:p w:rsidR="00381765" w:rsidRDefault="006A1662">
      <w:pPr>
        <w:ind w:left="1007"/>
        <w:rPr>
          <w:sz w:val="20"/>
        </w:rPr>
      </w:pPr>
      <w:r>
        <w:rPr>
          <w:rFonts w:ascii="Times New Roman"/>
          <w:spacing w:val="-49"/>
          <w:sz w:val="20"/>
        </w:rPr>
        <w:t xml:space="preserve"> </w:t>
      </w:r>
      <w:r>
        <w:rPr>
          <w:noProof/>
          <w:spacing w:val="-49"/>
          <w:sz w:val="20"/>
          <w:lang w:val="en-GB" w:eastAsia="en-GB"/>
        </w:rPr>
        <mc:AlternateContent>
          <mc:Choice Requires="wps">
            <w:drawing>
              <wp:inline distT="0" distB="0" distL="0" distR="0">
                <wp:extent cx="5869940" cy="506730"/>
                <wp:effectExtent l="9525" t="9525" r="6985" b="76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5067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81765" w:rsidRDefault="006A1662">
                            <w:pPr>
                              <w:pStyle w:val="BodyText"/>
                              <w:spacing w:line="248" w:lineRule="exact"/>
                              <w:ind w:left="103"/>
                            </w:pPr>
                            <w:r>
                              <w:t>Information for commissioners of Plastic Surgery - referrals and guidelines in Plastic Surgery</w:t>
                            </w:r>
                          </w:p>
                          <w:p w:rsidR="00381765" w:rsidRDefault="006A1662">
                            <w:pPr>
                              <w:spacing w:line="252" w:lineRule="exact"/>
                              <w:ind w:left="103"/>
                              <w:rPr>
                                <w:i/>
                              </w:rPr>
                            </w:pPr>
                            <w:proofErr w:type="spellStart"/>
                            <w:r>
                              <w:rPr>
                                <w:i/>
                              </w:rPr>
                              <w:t>Modernisation</w:t>
                            </w:r>
                            <w:proofErr w:type="spellEnd"/>
                            <w:r>
                              <w:rPr>
                                <w:i/>
                              </w:rPr>
                              <w:t xml:space="preserve"> Agency (Action on Plastic Surgery) (2005)</w:t>
                            </w:r>
                          </w:p>
                        </w:txbxContent>
                      </wps:txbx>
                      <wps:bodyPr rot="0" vert="horz" wrap="square" lIns="0" tIns="0" rIns="0" bIns="0" anchor="t" anchorCtr="0" upright="1">
                        <a:noAutofit/>
                      </wps:bodyPr>
                    </wps:wsp>
                  </a:graphicData>
                </a:graphic>
              </wp:inline>
            </w:drawing>
          </mc:Choice>
          <mc:Fallback>
            <w:pict>
              <v:shape id="Text Box 2" o:spid="_x0000_s1029" type="#_x0000_t202" style="width:462.2pt;height:3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" filled="f" strokeweight=".48pt">
                <v:textbox inset="0,0,0,0">
                  <w:txbxContent>
                    <w:p w:rsidR="00381765" w:rsidRDefault="006A1662">
                      <w:pPr>
                        <w:pStyle w:val="BodyText"/>
                        <w:spacing w:line="248" w:lineRule="exact"/>
                        <w:ind w:left="103"/>
                      </w:pPr>
                      <w:r>
                        <w:t>Information for commissioners of Plastic Surgery - referrals and guidelines in Plastic Surgery</w:t>
                      </w:r>
                    </w:p>
                    <w:p w:rsidR="00381765" w:rsidRDefault="006A1662">
                      <w:pPr>
                        <w:spacing w:line="252" w:lineRule="exact"/>
                        <w:ind w:left="103"/>
                        <w:rPr>
                          <w:i/>
                        </w:rPr>
                      </w:pPr>
                      <w:r>
                        <w:rPr>
                          <w:i/>
                        </w:rPr>
                        <w:t>Modernisation Agency (Action on Plastic Surgery) (2005)</w:t>
                      </w:r>
                    </w:p>
                  </w:txbxContent>
                </v:textbox>
                <w10:anchorlock/>
              </v:shape>
            </w:pict>
          </mc:Fallback>
        </mc:AlternateContent>
      </w:r>
    </w:p>
    <w:p w:rsidR="00381765" w:rsidRDefault="00381765">
      <w:pPr>
        <w:pStyle w:val="BodyText"/>
        <w:spacing w:before="5"/>
        <w:rPr>
          <w:b/>
          <w:sz w:val="20"/>
        </w:rPr>
      </w:pPr>
    </w:p>
    <w:p w:rsidR="00381765" w:rsidRDefault="006A1662">
      <w:pPr>
        <w:spacing w:line="278" w:lineRule="auto"/>
        <w:ind w:left="1120" w:right="1558"/>
        <w:rPr>
          <w:sz w:val="24"/>
        </w:rPr>
      </w:pPr>
      <w:r>
        <w:rPr>
          <w:sz w:val="24"/>
        </w:rPr>
        <w:t>Link to application form – Prior Approval Application Form (for additional procedures outside of criteria)</w:t>
      </w:r>
    </w:p>
    <w:p w:rsidR="00381765" w:rsidRDefault="006A1662">
      <w:pPr>
        <w:ind w:left="1120"/>
        <w:rPr>
          <w:sz w:val="24"/>
        </w:rPr>
      </w:pPr>
      <w:r>
        <w:rPr>
          <w:sz w:val="24"/>
        </w:rPr>
        <w:t xml:space="preserve">For further information please contact </w:t>
      </w:r>
      <w:hyperlink r:id="rId8">
        <w:r>
          <w:rPr>
            <w:color w:val="0000FF"/>
            <w:sz w:val="24"/>
            <w:u w:val="single" w:color="0000FF"/>
          </w:rPr>
          <w:t>GLCCG.IFR@nhs.net</w:t>
        </w:r>
      </w:hyperlink>
    </w:p>
    <w:p w:rsidR="00381765" w:rsidRDefault="00381765">
      <w:pPr>
        <w:rPr>
          <w:sz w:val="24"/>
        </w:rPr>
        <w:sectPr w:rsidR="00381765">
          <w:headerReference w:type="default" r:id="rId9"/>
          <w:footerReference w:type="default" r:id="rId10"/>
          <w:type w:val="continuous"/>
          <w:pgSz w:w="11930" w:h="16860"/>
          <w:pgMar w:top="1700" w:right="0" w:bottom="1180" w:left="320" w:header="278" w:footer="986" w:gutter="0"/>
          <w:pgNumType w:start="1"/>
          <w:cols w:space="720"/>
        </w:sectPr>
      </w:pPr>
    </w:p>
    <w:p w:rsidR="00381765" w:rsidRDefault="00381765">
      <w:pPr>
        <w:pStyle w:val="BodyText"/>
        <w:spacing w:after="1"/>
        <w:rPr>
          <w:sz w:val="28"/>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1"/>
        <w:gridCol w:w="6728"/>
      </w:tblGrid>
      <w:tr w:rsidR="00381765">
        <w:trPr>
          <w:trHeight w:hRule="exact" w:val="262"/>
        </w:trPr>
        <w:tc>
          <w:tcPr>
            <w:tcW w:w="2521" w:type="dxa"/>
          </w:tcPr>
          <w:p w:rsidR="00381765" w:rsidRDefault="006A1662">
            <w:pPr>
              <w:pStyle w:val="TableParagraph"/>
              <w:ind w:left="105"/>
              <w:rPr>
                <w:b/>
              </w:rPr>
            </w:pPr>
            <w:r>
              <w:rPr>
                <w:b/>
              </w:rPr>
              <w:t>Date of publication</w:t>
            </w:r>
          </w:p>
        </w:tc>
        <w:tc>
          <w:tcPr>
            <w:tcW w:w="6728" w:type="dxa"/>
          </w:tcPr>
          <w:p w:rsidR="00381765" w:rsidRDefault="006A1662">
            <w:pPr>
              <w:pStyle w:val="TableParagraph"/>
            </w:pPr>
            <w:r>
              <w:t>1</w:t>
            </w:r>
            <w:proofErr w:type="spellStart"/>
            <w:r>
              <w:rPr>
                <w:position w:val="10"/>
                <w:sz w:val="14"/>
              </w:rPr>
              <w:t>st</w:t>
            </w:r>
            <w:proofErr w:type="spellEnd"/>
            <w:r>
              <w:rPr>
                <w:position w:val="10"/>
                <w:sz w:val="14"/>
              </w:rPr>
              <w:t xml:space="preserve">  </w:t>
            </w:r>
            <w:r>
              <w:t>August 2015</w:t>
            </w:r>
          </w:p>
        </w:tc>
      </w:tr>
      <w:tr w:rsidR="00381765">
        <w:trPr>
          <w:trHeight w:hRule="exact" w:val="266"/>
        </w:trPr>
        <w:tc>
          <w:tcPr>
            <w:tcW w:w="2521" w:type="dxa"/>
          </w:tcPr>
          <w:p w:rsidR="00381765" w:rsidRDefault="006A1662">
            <w:pPr>
              <w:pStyle w:val="TableParagraph"/>
              <w:spacing w:line="246" w:lineRule="exact"/>
              <w:ind w:left="105"/>
              <w:rPr>
                <w:b/>
              </w:rPr>
            </w:pPr>
            <w:r>
              <w:rPr>
                <w:b/>
              </w:rPr>
              <w:t>Policy review date</w:t>
            </w:r>
          </w:p>
        </w:tc>
        <w:tc>
          <w:tcPr>
            <w:tcW w:w="6728" w:type="dxa"/>
          </w:tcPr>
          <w:p w:rsidR="00381765" w:rsidRDefault="00044ED5">
            <w:pPr>
              <w:pStyle w:val="TableParagraph"/>
              <w:spacing w:line="246" w:lineRule="exact"/>
            </w:pPr>
            <w:r>
              <w:t>June 2022</w:t>
            </w:r>
          </w:p>
        </w:tc>
      </w:tr>
    </w:tbl>
    <w:p w:rsidR="00381765" w:rsidRDefault="00381765">
      <w:pPr>
        <w:pStyle w:val="BodyText"/>
        <w:spacing w:before="6"/>
        <w:rPr>
          <w:sz w:val="18"/>
        </w:rPr>
      </w:pPr>
    </w:p>
    <w:p w:rsidR="00381765" w:rsidRDefault="006A1662">
      <w:pPr>
        <w:spacing w:before="92" w:after="52"/>
        <w:ind w:left="1120"/>
        <w:rPr>
          <w:b/>
          <w:sz w:val="24"/>
        </w:rPr>
      </w:pPr>
      <w:r>
        <w:rPr>
          <w:b/>
          <w:sz w:val="24"/>
        </w:rPr>
        <w:t>Consultation</w:t>
      </w: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4"/>
        <w:gridCol w:w="3325"/>
      </w:tblGrid>
      <w:tr w:rsidR="00381765">
        <w:trPr>
          <w:trHeight w:hRule="exact" w:val="264"/>
        </w:trPr>
        <w:tc>
          <w:tcPr>
            <w:tcW w:w="5924" w:type="dxa"/>
          </w:tcPr>
          <w:p w:rsidR="00381765" w:rsidRDefault="006A1662">
            <w:pPr>
              <w:pStyle w:val="TableParagraph"/>
              <w:spacing w:line="246" w:lineRule="exact"/>
              <w:ind w:left="105"/>
              <w:rPr>
                <w:b/>
              </w:rPr>
            </w:pPr>
            <w:r>
              <w:rPr>
                <w:b/>
              </w:rPr>
              <w:t>Consultee</w:t>
            </w:r>
          </w:p>
        </w:tc>
        <w:tc>
          <w:tcPr>
            <w:tcW w:w="3325" w:type="dxa"/>
          </w:tcPr>
          <w:p w:rsidR="00381765" w:rsidRDefault="006A1662">
            <w:pPr>
              <w:pStyle w:val="TableParagraph"/>
              <w:spacing w:line="246" w:lineRule="exact"/>
              <w:rPr>
                <w:b/>
              </w:rPr>
            </w:pPr>
            <w:r>
              <w:rPr>
                <w:b/>
              </w:rPr>
              <w:t>Date</w:t>
            </w:r>
          </w:p>
        </w:tc>
      </w:tr>
      <w:tr w:rsidR="00381765">
        <w:trPr>
          <w:trHeight w:hRule="exact" w:val="264"/>
        </w:trPr>
        <w:tc>
          <w:tcPr>
            <w:tcW w:w="5924" w:type="dxa"/>
          </w:tcPr>
          <w:p w:rsidR="00381765" w:rsidRDefault="006A1662">
            <w:pPr>
              <w:pStyle w:val="TableParagraph"/>
              <w:ind w:left="105"/>
            </w:pPr>
            <w:r>
              <w:t xml:space="preserve">Planned Care </w:t>
            </w:r>
            <w:proofErr w:type="spellStart"/>
            <w:r>
              <w:t>Programme</w:t>
            </w:r>
            <w:proofErr w:type="spellEnd"/>
            <w:r>
              <w:t xml:space="preserve"> Board</w:t>
            </w:r>
          </w:p>
        </w:tc>
        <w:tc>
          <w:tcPr>
            <w:tcW w:w="3325" w:type="dxa"/>
          </w:tcPr>
          <w:p w:rsidR="00381765" w:rsidRDefault="006A1662">
            <w:pPr>
              <w:pStyle w:val="TableParagraph"/>
            </w:pPr>
            <w:r>
              <w:t>31</w:t>
            </w:r>
            <w:proofErr w:type="spellStart"/>
            <w:r>
              <w:rPr>
                <w:position w:val="10"/>
                <w:sz w:val="14"/>
              </w:rPr>
              <w:t>st</w:t>
            </w:r>
            <w:proofErr w:type="spellEnd"/>
            <w:r>
              <w:rPr>
                <w:position w:val="10"/>
                <w:sz w:val="14"/>
              </w:rPr>
              <w:t xml:space="preserve">  </w:t>
            </w:r>
            <w:r>
              <w:t>March 2015 (virtual)</w:t>
            </w:r>
          </w:p>
        </w:tc>
      </w:tr>
      <w:tr w:rsidR="00381765">
        <w:trPr>
          <w:trHeight w:hRule="exact" w:val="262"/>
        </w:trPr>
        <w:tc>
          <w:tcPr>
            <w:tcW w:w="5924" w:type="dxa"/>
          </w:tcPr>
          <w:p w:rsidR="00381765" w:rsidRDefault="006A1662">
            <w:pPr>
              <w:pStyle w:val="TableParagraph"/>
              <w:ind w:left="105"/>
            </w:pPr>
            <w:r>
              <w:t>CCG Governing Body Development Session</w:t>
            </w:r>
          </w:p>
        </w:tc>
        <w:tc>
          <w:tcPr>
            <w:tcW w:w="3325" w:type="dxa"/>
          </w:tcPr>
          <w:p w:rsidR="00381765" w:rsidRDefault="006A1662">
            <w:pPr>
              <w:pStyle w:val="TableParagraph"/>
            </w:pPr>
            <w:r>
              <w:t>4th June 2015</w:t>
            </w:r>
          </w:p>
        </w:tc>
      </w:tr>
      <w:tr w:rsidR="00381765">
        <w:trPr>
          <w:trHeight w:hRule="exact" w:val="264"/>
        </w:trPr>
        <w:tc>
          <w:tcPr>
            <w:tcW w:w="5924" w:type="dxa"/>
          </w:tcPr>
          <w:p w:rsidR="00381765" w:rsidRDefault="006A1662">
            <w:pPr>
              <w:pStyle w:val="TableParagraph"/>
              <w:ind w:left="105"/>
            </w:pPr>
            <w:r>
              <w:t>GHNHSFT (via General Manager/Head of Contracts)</w:t>
            </w:r>
          </w:p>
        </w:tc>
        <w:tc>
          <w:tcPr>
            <w:tcW w:w="3325" w:type="dxa"/>
          </w:tcPr>
          <w:p w:rsidR="00381765" w:rsidRDefault="006A1662">
            <w:pPr>
              <w:pStyle w:val="TableParagraph"/>
            </w:pPr>
            <w:r>
              <w:t>18/05/2015 – 29/05/2015</w:t>
            </w:r>
          </w:p>
        </w:tc>
      </w:tr>
      <w:tr w:rsidR="00381765">
        <w:trPr>
          <w:trHeight w:hRule="exact" w:val="262"/>
        </w:trPr>
        <w:tc>
          <w:tcPr>
            <w:tcW w:w="5924" w:type="dxa"/>
          </w:tcPr>
          <w:p w:rsidR="00381765" w:rsidRDefault="006A1662">
            <w:pPr>
              <w:pStyle w:val="TableParagraph"/>
              <w:ind w:left="105"/>
            </w:pPr>
            <w:r>
              <w:t>GP Membership (via CCG Live/What’s New This Week)</w:t>
            </w:r>
          </w:p>
        </w:tc>
        <w:tc>
          <w:tcPr>
            <w:tcW w:w="3325" w:type="dxa"/>
          </w:tcPr>
          <w:p w:rsidR="00381765" w:rsidRDefault="006A1662">
            <w:pPr>
              <w:pStyle w:val="TableParagraph"/>
            </w:pPr>
            <w:r>
              <w:t>06/05/2015 – 05/06/2015</w:t>
            </w:r>
          </w:p>
        </w:tc>
      </w:tr>
      <w:tr w:rsidR="00381765">
        <w:trPr>
          <w:trHeight w:hRule="exact" w:val="264"/>
        </w:trPr>
        <w:tc>
          <w:tcPr>
            <w:tcW w:w="5924" w:type="dxa"/>
            <w:shd w:val="clear" w:color="auto" w:fill="C4B993"/>
          </w:tcPr>
          <w:p w:rsidR="00381765" w:rsidRDefault="00381765"/>
        </w:tc>
        <w:tc>
          <w:tcPr>
            <w:tcW w:w="3325" w:type="dxa"/>
            <w:shd w:val="clear" w:color="auto" w:fill="C4B993"/>
          </w:tcPr>
          <w:p w:rsidR="00381765" w:rsidRDefault="00381765"/>
        </w:tc>
      </w:tr>
      <w:tr w:rsidR="00381765">
        <w:trPr>
          <w:trHeight w:hRule="exact" w:val="264"/>
        </w:trPr>
        <w:tc>
          <w:tcPr>
            <w:tcW w:w="5924" w:type="dxa"/>
          </w:tcPr>
          <w:p w:rsidR="00381765" w:rsidRDefault="006A1662">
            <w:pPr>
              <w:pStyle w:val="TableParagraph"/>
              <w:ind w:left="105"/>
            </w:pPr>
            <w:r>
              <w:t>Has the consultation included patient representatives?</w:t>
            </w:r>
          </w:p>
        </w:tc>
        <w:tc>
          <w:tcPr>
            <w:tcW w:w="3325" w:type="dxa"/>
          </w:tcPr>
          <w:p w:rsidR="00381765" w:rsidRDefault="006A1662">
            <w:pPr>
              <w:pStyle w:val="TableParagraph"/>
            </w:pPr>
            <w:r>
              <w:t>No</w:t>
            </w:r>
          </w:p>
        </w:tc>
      </w:tr>
    </w:tbl>
    <w:p w:rsidR="00381765" w:rsidRDefault="00381765">
      <w:pPr>
        <w:pStyle w:val="BodyText"/>
        <w:spacing w:before="9"/>
        <w:rPr>
          <w:b/>
          <w:sz w:val="26"/>
        </w:rPr>
      </w:pPr>
    </w:p>
    <w:p w:rsidR="00381765" w:rsidRDefault="006A1662">
      <w:pPr>
        <w:spacing w:after="50"/>
        <w:ind w:left="1120"/>
        <w:rPr>
          <w:b/>
          <w:sz w:val="24"/>
        </w:rPr>
      </w:pPr>
      <w:r>
        <w:rPr>
          <w:b/>
          <w:sz w:val="24"/>
        </w:rPr>
        <w:t>Policy sign off</w:t>
      </w: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4"/>
        <w:gridCol w:w="3325"/>
      </w:tblGrid>
      <w:tr w:rsidR="00381765">
        <w:trPr>
          <w:trHeight w:hRule="exact" w:val="264"/>
        </w:trPr>
        <w:tc>
          <w:tcPr>
            <w:tcW w:w="5924" w:type="dxa"/>
          </w:tcPr>
          <w:p w:rsidR="00381765" w:rsidRDefault="006A1662">
            <w:pPr>
              <w:pStyle w:val="TableParagraph"/>
              <w:ind w:left="105"/>
              <w:rPr>
                <w:b/>
              </w:rPr>
            </w:pPr>
            <w:r>
              <w:rPr>
                <w:b/>
              </w:rPr>
              <w:t>Reviewing Body</w:t>
            </w:r>
          </w:p>
        </w:tc>
        <w:tc>
          <w:tcPr>
            <w:tcW w:w="3325" w:type="dxa"/>
          </w:tcPr>
          <w:p w:rsidR="00381765" w:rsidRDefault="006A1662">
            <w:pPr>
              <w:pStyle w:val="TableParagraph"/>
              <w:rPr>
                <w:b/>
              </w:rPr>
            </w:pPr>
            <w:r>
              <w:rPr>
                <w:b/>
              </w:rPr>
              <w:t>Date of review</w:t>
            </w:r>
          </w:p>
        </w:tc>
      </w:tr>
      <w:tr w:rsidR="00381765">
        <w:trPr>
          <w:trHeight w:hRule="exact" w:val="262"/>
        </w:trPr>
        <w:tc>
          <w:tcPr>
            <w:tcW w:w="5924" w:type="dxa"/>
          </w:tcPr>
          <w:p w:rsidR="00381765" w:rsidRDefault="006A1662">
            <w:pPr>
              <w:pStyle w:val="TableParagraph"/>
              <w:ind w:left="105"/>
            </w:pPr>
            <w:r>
              <w:t>Effective Clinical Commissioning Policy Group</w:t>
            </w:r>
          </w:p>
        </w:tc>
        <w:tc>
          <w:tcPr>
            <w:tcW w:w="3325" w:type="dxa"/>
          </w:tcPr>
          <w:p w:rsidR="00381765" w:rsidRDefault="006A1662">
            <w:pPr>
              <w:pStyle w:val="TableParagraph"/>
            </w:pPr>
            <w:r>
              <w:t>8</w:t>
            </w:r>
            <w:proofErr w:type="spellStart"/>
            <w:r>
              <w:rPr>
                <w:position w:val="10"/>
                <w:sz w:val="14"/>
              </w:rPr>
              <w:t>th</w:t>
            </w:r>
            <w:proofErr w:type="spellEnd"/>
            <w:r>
              <w:rPr>
                <w:position w:val="10"/>
                <w:sz w:val="14"/>
              </w:rPr>
              <w:t xml:space="preserve">  </w:t>
            </w:r>
            <w:r>
              <w:t>November 2016</w:t>
            </w:r>
          </w:p>
        </w:tc>
      </w:tr>
      <w:tr w:rsidR="00381765">
        <w:trPr>
          <w:trHeight w:hRule="exact" w:val="264"/>
        </w:trPr>
        <w:tc>
          <w:tcPr>
            <w:tcW w:w="5924" w:type="dxa"/>
          </w:tcPr>
          <w:p w:rsidR="00381765" w:rsidRDefault="006A1662">
            <w:pPr>
              <w:pStyle w:val="TableParagraph"/>
              <w:spacing w:line="246" w:lineRule="exact"/>
              <w:ind w:left="105"/>
            </w:pPr>
            <w:r>
              <w:t>Integrated Governance and Quality Committee</w:t>
            </w:r>
          </w:p>
        </w:tc>
        <w:tc>
          <w:tcPr>
            <w:tcW w:w="3325" w:type="dxa"/>
          </w:tcPr>
          <w:p w:rsidR="00381765" w:rsidRDefault="006A1662">
            <w:pPr>
              <w:pStyle w:val="TableParagraph"/>
              <w:spacing w:line="246" w:lineRule="exact"/>
            </w:pPr>
            <w:r>
              <w:t>18</w:t>
            </w:r>
            <w:proofErr w:type="spellStart"/>
            <w:r>
              <w:rPr>
                <w:position w:val="10"/>
                <w:sz w:val="14"/>
              </w:rPr>
              <w:t>th</w:t>
            </w:r>
            <w:proofErr w:type="spellEnd"/>
            <w:r>
              <w:rPr>
                <w:position w:val="10"/>
                <w:sz w:val="14"/>
              </w:rPr>
              <w:t xml:space="preserve">  </w:t>
            </w:r>
            <w:r>
              <w:t>June 2015</w:t>
            </w:r>
          </w:p>
        </w:tc>
      </w:tr>
    </w:tbl>
    <w:p w:rsidR="00381765" w:rsidRDefault="00381765">
      <w:pPr>
        <w:pStyle w:val="BodyText"/>
        <w:rPr>
          <w:b/>
          <w:sz w:val="26"/>
        </w:rPr>
      </w:pPr>
    </w:p>
    <w:p w:rsidR="00381765" w:rsidRDefault="00381765">
      <w:pPr>
        <w:pStyle w:val="BodyText"/>
        <w:rPr>
          <w:b/>
          <w:sz w:val="26"/>
        </w:rPr>
      </w:pPr>
    </w:p>
    <w:p w:rsidR="00381765" w:rsidRDefault="00381765">
      <w:pPr>
        <w:pStyle w:val="BodyText"/>
        <w:spacing w:before="7"/>
        <w:rPr>
          <w:b/>
          <w:sz w:val="35"/>
        </w:rPr>
      </w:pPr>
    </w:p>
    <w:p w:rsidR="00381765" w:rsidRDefault="006A1662">
      <w:pPr>
        <w:pStyle w:val="Heading2"/>
        <w:ind w:left="981"/>
        <w:rPr>
          <w:rFonts w:ascii="Arial"/>
        </w:rPr>
      </w:pPr>
      <w:r>
        <w:rPr>
          <w:rFonts w:ascii="Arial"/>
        </w:rPr>
        <w:t>Version Control</w:t>
      </w:r>
    </w:p>
    <w:p w:rsidR="00381765" w:rsidRDefault="00381765">
      <w:pPr>
        <w:pStyle w:val="BodyText"/>
        <w:spacing w:before="4"/>
        <w:rPr>
          <w:b/>
        </w:rPr>
      </w:pP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0"/>
        <w:gridCol w:w="2309"/>
        <w:gridCol w:w="1301"/>
        <w:gridCol w:w="4395"/>
      </w:tblGrid>
      <w:tr w:rsidR="00381765">
        <w:trPr>
          <w:trHeight w:hRule="exact" w:val="538"/>
        </w:trPr>
        <w:tc>
          <w:tcPr>
            <w:tcW w:w="1210" w:type="dxa"/>
          </w:tcPr>
          <w:p w:rsidR="00381765" w:rsidRDefault="006A1662">
            <w:pPr>
              <w:pStyle w:val="TableParagraph"/>
              <w:spacing w:line="276" w:lineRule="auto"/>
              <w:ind w:right="153"/>
              <w:rPr>
                <w:b/>
                <w:sz w:val="20"/>
              </w:rPr>
            </w:pPr>
            <w:r>
              <w:rPr>
                <w:b/>
                <w:w w:val="95"/>
                <w:sz w:val="20"/>
              </w:rPr>
              <w:t xml:space="preserve">Version </w:t>
            </w:r>
            <w:r>
              <w:rPr>
                <w:b/>
                <w:sz w:val="20"/>
              </w:rPr>
              <w:t>No</w:t>
            </w:r>
          </w:p>
        </w:tc>
        <w:tc>
          <w:tcPr>
            <w:tcW w:w="2309" w:type="dxa"/>
          </w:tcPr>
          <w:p w:rsidR="00381765" w:rsidRDefault="006A1662">
            <w:pPr>
              <w:pStyle w:val="TableParagraph"/>
              <w:spacing w:line="227" w:lineRule="exact"/>
              <w:rPr>
                <w:b/>
                <w:sz w:val="20"/>
              </w:rPr>
            </w:pPr>
            <w:r>
              <w:rPr>
                <w:b/>
                <w:sz w:val="20"/>
              </w:rPr>
              <w:t>Type of Change</w:t>
            </w:r>
          </w:p>
        </w:tc>
        <w:tc>
          <w:tcPr>
            <w:tcW w:w="1301" w:type="dxa"/>
          </w:tcPr>
          <w:p w:rsidR="00381765" w:rsidRDefault="006A1662">
            <w:pPr>
              <w:pStyle w:val="TableParagraph"/>
              <w:spacing w:line="227" w:lineRule="exact"/>
              <w:rPr>
                <w:b/>
                <w:sz w:val="20"/>
              </w:rPr>
            </w:pPr>
            <w:r>
              <w:rPr>
                <w:b/>
                <w:sz w:val="20"/>
              </w:rPr>
              <w:t>Date</w:t>
            </w:r>
          </w:p>
        </w:tc>
        <w:tc>
          <w:tcPr>
            <w:tcW w:w="4395" w:type="dxa"/>
          </w:tcPr>
          <w:p w:rsidR="00381765" w:rsidRDefault="006A1662">
            <w:pPr>
              <w:pStyle w:val="TableParagraph"/>
              <w:spacing w:line="227" w:lineRule="exact"/>
              <w:rPr>
                <w:b/>
                <w:sz w:val="20"/>
              </w:rPr>
            </w:pPr>
            <w:r>
              <w:rPr>
                <w:b/>
                <w:sz w:val="20"/>
              </w:rPr>
              <w:t>Description of Change</w:t>
            </w:r>
          </w:p>
        </w:tc>
      </w:tr>
      <w:tr w:rsidR="00381765" w:rsidTr="00DA11CB">
        <w:trPr>
          <w:trHeight w:hRule="exact" w:val="680"/>
        </w:trPr>
        <w:tc>
          <w:tcPr>
            <w:tcW w:w="1210" w:type="dxa"/>
          </w:tcPr>
          <w:p w:rsidR="00381765" w:rsidRPr="00DA11CB" w:rsidRDefault="008A1E4B">
            <w:pPr>
              <w:rPr>
                <w:sz w:val="18"/>
                <w:szCs w:val="18"/>
              </w:rPr>
            </w:pPr>
            <w:r w:rsidRPr="00DA11CB">
              <w:rPr>
                <w:sz w:val="18"/>
                <w:szCs w:val="18"/>
              </w:rPr>
              <w:t xml:space="preserve"> V2</w:t>
            </w:r>
          </w:p>
        </w:tc>
        <w:tc>
          <w:tcPr>
            <w:tcW w:w="2309" w:type="dxa"/>
          </w:tcPr>
          <w:p w:rsidR="00381765" w:rsidRPr="00DA11CB" w:rsidRDefault="00DA11CB">
            <w:pPr>
              <w:rPr>
                <w:sz w:val="18"/>
                <w:szCs w:val="18"/>
              </w:rPr>
            </w:pPr>
            <w:r>
              <w:rPr>
                <w:sz w:val="18"/>
                <w:szCs w:val="18"/>
              </w:rPr>
              <w:t>Minor amendment</w:t>
            </w:r>
          </w:p>
        </w:tc>
        <w:tc>
          <w:tcPr>
            <w:tcW w:w="1301" w:type="dxa"/>
          </w:tcPr>
          <w:p w:rsidR="00381765" w:rsidRPr="00DA11CB" w:rsidRDefault="008A1E4B">
            <w:pPr>
              <w:rPr>
                <w:sz w:val="18"/>
                <w:szCs w:val="18"/>
              </w:rPr>
            </w:pPr>
            <w:r w:rsidRPr="00DA11CB">
              <w:rPr>
                <w:sz w:val="18"/>
                <w:szCs w:val="18"/>
              </w:rPr>
              <w:t>14.5.19</w:t>
            </w:r>
          </w:p>
        </w:tc>
        <w:tc>
          <w:tcPr>
            <w:tcW w:w="4395" w:type="dxa"/>
          </w:tcPr>
          <w:p w:rsidR="00381765" w:rsidRPr="00DA11CB" w:rsidRDefault="00DA11CB">
            <w:pPr>
              <w:rPr>
                <w:sz w:val="18"/>
                <w:szCs w:val="18"/>
              </w:rPr>
            </w:pPr>
            <w:r w:rsidRPr="00DA11CB">
              <w:rPr>
                <w:sz w:val="18"/>
                <w:szCs w:val="18"/>
              </w:rPr>
              <w:t>Removal of 5 year time limit as endorsed by the Cancer CPG Jan 2019</w:t>
            </w:r>
            <w:r>
              <w:rPr>
                <w:sz w:val="18"/>
                <w:szCs w:val="18"/>
              </w:rPr>
              <w:t xml:space="preserve">. Minor change agreed by M Andrews-Evans &amp; M </w:t>
            </w:r>
            <w:proofErr w:type="spellStart"/>
            <w:r>
              <w:rPr>
                <w:sz w:val="18"/>
                <w:szCs w:val="18"/>
              </w:rPr>
              <w:t>Walkingshaw</w:t>
            </w:r>
            <w:proofErr w:type="spellEnd"/>
            <w:r>
              <w:rPr>
                <w:sz w:val="18"/>
                <w:szCs w:val="18"/>
              </w:rPr>
              <w:t xml:space="preserve"> 14.5.19</w:t>
            </w:r>
          </w:p>
        </w:tc>
      </w:tr>
      <w:tr w:rsidR="00381765">
        <w:trPr>
          <w:trHeight w:hRule="exact" w:val="327"/>
        </w:trPr>
        <w:tc>
          <w:tcPr>
            <w:tcW w:w="1210" w:type="dxa"/>
          </w:tcPr>
          <w:p w:rsidR="00381765" w:rsidRPr="00044ED5" w:rsidRDefault="00044ED5">
            <w:pPr>
              <w:rPr>
                <w:sz w:val="18"/>
                <w:szCs w:val="18"/>
              </w:rPr>
            </w:pPr>
            <w:r w:rsidRPr="00044ED5">
              <w:rPr>
                <w:sz w:val="18"/>
                <w:szCs w:val="18"/>
              </w:rPr>
              <w:t xml:space="preserve"> V3</w:t>
            </w:r>
          </w:p>
        </w:tc>
        <w:tc>
          <w:tcPr>
            <w:tcW w:w="2309" w:type="dxa"/>
          </w:tcPr>
          <w:p w:rsidR="00381765" w:rsidRPr="00044ED5" w:rsidRDefault="00044ED5">
            <w:pPr>
              <w:rPr>
                <w:sz w:val="18"/>
                <w:szCs w:val="18"/>
              </w:rPr>
            </w:pPr>
            <w:r w:rsidRPr="00044ED5">
              <w:rPr>
                <w:sz w:val="18"/>
                <w:szCs w:val="18"/>
              </w:rPr>
              <w:t xml:space="preserve"> Minor amendment</w:t>
            </w:r>
            <w:bookmarkStart w:id="0" w:name="_GoBack"/>
            <w:bookmarkEnd w:id="0"/>
          </w:p>
        </w:tc>
        <w:tc>
          <w:tcPr>
            <w:tcW w:w="1301" w:type="dxa"/>
          </w:tcPr>
          <w:p w:rsidR="00381765" w:rsidRPr="00044ED5" w:rsidRDefault="00044ED5">
            <w:pPr>
              <w:rPr>
                <w:sz w:val="18"/>
                <w:szCs w:val="18"/>
              </w:rPr>
            </w:pPr>
            <w:r w:rsidRPr="00044ED5">
              <w:rPr>
                <w:sz w:val="18"/>
                <w:szCs w:val="18"/>
              </w:rPr>
              <w:t>11.6.19</w:t>
            </w:r>
          </w:p>
        </w:tc>
        <w:tc>
          <w:tcPr>
            <w:tcW w:w="4395" w:type="dxa"/>
          </w:tcPr>
          <w:p w:rsidR="00381765" w:rsidRPr="00044ED5" w:rsidRDefault="00044ED5">
            <w:pPr>
              <w:rPr>
                <w:sz w:val="18"/>
                <w:szCs w:val="18"/>
              </w:rPr>
            </w:pPr>
            <w:r>
              <w:rPr>
                <w:sz w:val="18"/>
                <w:szCs w:val="18"/>
              </w:rPr>
              <w:t xml:space="preserve"> Policy review date changed to June 2022</w:t>
            </w:r>
          </w:p>
        </w:tc>
      </w:tr>
      <w:tr w:rsidR="00381765">
        <w:trPr>
          <w:trHeight w:hRule="exact" w:val="329"/>
        </w:trPr>
        <w:tc>
          <w:tcPr>
            <w:tcW w:w="1210" w:type="dxa"/>
          </w:tcPr>
          <w:p w:rsidR="00381765" w:rsidRDefault="00381765"/>
        </w:tc>
        <w:tc>
          <w:tcPr>
            <w:tcW w:w="2309" w:type="dxa"/>
          </w:tcPr>
          <w:p w:rsidR="00381765" w:rsidRDefault="00381765"/>
        </w:tc>
        <w:tc>
          <w:tcPr>
            <w:tcW w:w="1301" w:type="dxa"/>
          </w:tcPr>
          <w:p w:rsidR="00381765" w:rsidRDefault="00381765"/>
        </w:tc>
        <w:tc>
          <w:tcPr>
            <w:tcW w:w="4395" w:type="dxa"/>
          </w:tcPr>
          <w:p w:rsidR="00381765" w:rsidRDefault="00381765"/>
        </w:tc>
      </w:tr>
    </w:tbl>
    <w:p w:rsidR="00C55322" w:rsidRDefault="00C55322"/>
    <w:sectPr w:rsidR="00C55322">
      <w:pgSz w:w="11930" w:h="16860"/>
      <w:pgMar w:top="1700" w:right="1240" w:bottom="1180" w:left="320" w:header="278" w:footer="9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322" w:rsidRDefault="006A1662">
      <w:r>
        <w:separator/>
      </w:r>
    </w:p>
  </w:endnote>
  <w:endnote w:type="continuationSeparator" w:id="0">
    <w:p w:rsidR="00C55322" w:rsidRDefault="006A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765" w:rsidRDefault="006A1662">
    <w:pPr>
      <w:pStyle w:val="BodyText"/>
      <w:spacing w:line="14" w:lineRule="auto"/>
      <w:rPr>
        <w:sz w:val="20"/>
      </w:rPr>
    </w:pPr>
    <w:r>
      <w:rPr>
        <w:noProof/>
        <w:lang w:val="en-GB" w:eastAsia="en-GB"/>
      </w:rPr>
      <mc:AlternateContent>
        <mc:Choice Requires="wps">
          <w:drawing>
            <wp:anchor distT="0" distB="0" distL="114300" distR="114300" simplePos="0" relativeHeight="503310368" behindDoc="1" locked="0" layoutInCell="1" allowOverlap="1">
              <wp:simplePos x="0" y="0"/>
              <wp:positionH relativeFrom="page">
                <wp:posOffset>3723005</wp:posOffset>
              </wp:positionH>
              <wp:positionV relativeFrom="page">
                <wp:posOffset>9933940</wp:posOffset>
              </wp:positionV>
              <wp:extent cx="121920" cy="165735"/>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765" w:rsidRDefault="006A1662">
                          <w:pPr>
                            <w:pStyle w:val="BodyText"/>
                            <w:spacing w:line="245" w:lineRule="exact"/>
                            <w:ind w:left="40"/>
                            <w:rPr>
                              <w:rFonts w:ascii="Calibri"/>
                            </w:rPr>
                          </w:pPr>
                          <w:r>
                            <w:fldChar w:fldCharType="begin"/>
                          </w:r>
                          <w:r>
                            <w:rPr>
                              <w:rFonts w:ascii="Calibri"/>
                            </w:rPr>
                            <w:instrText xml:space="preserve"> PAGE </w:instrText>
                          </w:r>
                          <w:r>
                            <w:fldChar w:fldCharType="separate"/>
                          </w:r>
                          <w:r w:rsidR="00044ED5">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93.15pt;margin-top:782.2pt;width:9.6pt;height:13.05pt;z-index:-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kw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" filled="f" stroked="f">
              <v:textbox inset="0,0,0,0">
                <w:txbxContent>
                  <w:p w:rsidR="00381765" w:rsidRDefault="006A1662">
                    <w:pPr>
                      <w:pStyle w:val="BodyText"/>
                      <w:spacing w:line="245" w:lineRule="exact"/>
                      <w:ind w:left="40"/>
                      <w:rPr>
                        <w:rFonts w:ascii="Calibri"/>
                      </w:rPr>
                    </w:pPr>
                    <w:r>
                      <w:fldChar w:fldCharType="begin"/>
                    </w:r>
                    <w:r>
                      <w:rPr>
                        <w:rFonts w:ascii="Calibri"/>
                      </w:rPr>
                      <w:instrText xml:space="preserve"> PAGE </w:instrText>
                    </w:r>
                    <w:r>
                      <w:fldChar w:fldCharType="separate"/>
                    </w:r>
                    <w:r w:rsidR="00044ED5">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322" w:rsidRDefault="006A1662">
      <w:r>
        <w:separator/>
      </w:r>
    </w:p>
  </w:footnote>
  <w:footnote w:type="continuationSeparator" w:id="0">
    <w:p w:rsidR="00C55322" w:rsidRDefault="006A1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765" w:rsidRDefault="006A1662">
    <w:pPr>
      <w:pStyle w:val="BodyText"/>
      <w:spacing w:line="14" w:lineRule="auto"/>
      <w:rPr>
        <w:sz w:val="20"/>
      </w:rPr>
    </w:pPr>
    <w:r>
      <w:rPr>
        <w:noProof/>
        <w:lang w:val="en-GB" w:eastAsia="en-GB"/>
      </w:rPr>
      <mc:AlternateContent>
        <mc:Choice Requires="wps">
          <w:drawing>
            <wp:anchor distT="0" distB="0" distL="114300" distR="114300" simplePos="0" relativeHeight="503310320" behindDoc="1" locked="0" layoutInCell="1" allowOverlap="1">
              <wp:simplePos x="0" y="0"/>
              <wp:positionH relativeFrom="page">
                <wp:posOffset>276225</wp:posOffset>
              </wp:positionH>
              <wp:positionV relativeFrom="page">
                <wp:posOffset>180975</wp:posOffset>
              </wp:positionV>
              <wp:extent cx="2638425" cy="904875"/>
              <wp:effectExtent l="9525" t="9525"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904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1.75pt;margin-top:14.25pt;width:207.75pt;height:71.25pt;z-index:-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" filled="f">
              <w10:wrap anchorx="page" anchory="page"/>
            </v:rect>
          </w:pict>
        </mc:Fallback>
      </mc:AlternateContent>
    </w:r>
    <w:r>
      <w:rPr>
        <w:noProof/>
        <w:lang w:val="en-GB" w:eastAsia="en-GB"/>
      </w:rPr>
      <mc:AlternateContent>
        <mc:Choice Requires="wps">
          <w:drawing>
            <wp:anchor distT="0" distB="0" distL="114300" distR="114300" simplePos="0" relativeHeight="503310344" behindDoc="1" locked="0" layoutInCell="1" allowOverlap="1">
              <wp:simplePos x="0" y="0"/>
              <wp:positionH relativeFrom="page">
                <wp:posOffset>360680</wp:posOffset>
              </wp:positionH>
              <wp:positionV relativeFrom="page">
                <wp:posOffset>261620</wp:posOffset>
              </wp:positionV>
              <wp:extent cx="1931035" cy="732790"/>
              <wp:effectExtent l="0" t="4445"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765" w:rsidRDefault="006A1662">
                          <w:pPr>
                            <w:spacing w:line="245" w:lineRule="exact"/>
                            <w:ind w:left="20"/>
                            <w:rPr>
                              <w:rFonts w:ascii="Calibri"/>
                              <w:b/>
                            </w:rPr>
                          </w:pPr>
                          <w:r>
                            <w:rPr>
                              <w:rFonts w:ascii="Calibri"/>
                              <w:b/>
                            </w:rPr>
                            <w:t>Policy Category:</w:t>
                          </w:r>
                        </w:p>
                        <w:p w:rsidR="00381765" w:rsidRDefault="006A1662">
                          <w:pPr>
                            <w:spacing w:before="10"/>
                            <w:ind w:left="20"/>
                            <w:rPr>
                              <w:rFonts w:ascii="Calibri"/>
                              <w:b/>
                            </w:rPr>
                          </w:pPr>
                          <w:r>
                            <w:rPr>
                              <w:rFonts w:ascii="Calibri"/>
                              <w:b/>
                              <w:color w:val="FF0000"/>
                            </w:rPr>
                            <w:t>CBA</w:t>
                          </w:r>
                        </w:p>
                        <w:p w:rsidR="00381765" w:rsidRDefault="006A1662">
                          <w:pPr>
                            <w:spacing w:before="38" w:line="273" w:lineRule="auto"/>
                            <w:ind w:left="20" w:right="2"/>
                            <w:rPr>
                              <w:rFonts w:ascii="Calibri"/>
                              <w:b/>
                            </w:rPr>
                          </w:pPr>
                          <w:r>
                            <w:rPr>
                              <w:rFonts w:ascii="Calibri"/>
                              <w:b/>
                            </w:rPr>
                            <w:t xml:space="preserve">Who usually applies for funding? </w:t>
                          </w:r>
                          <w:r>
                            <w:rPr>
                              <w:rFonts w:ascii="Calibri"/>
                              <w:b/>
                              <w:color w:val="FF0000"/>
                            </w:rPr>
                            <w:t>Not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8.4pt;margin-top:20.6pt;width:152.05pt;height:57.7pt;z-index:-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" filled="f" stroked="f">
              <v:textbox inset="0,0,0,0">
                <w:txbxContent>
                  <w:p w:rsidR="00381765" w:rsidRDefault="006A1662">
                    <w:pPr>
                      <w:spacing w:line="245" w:lineRule="exact"/>
                      <w:ind w:left="20"/>
                      <w:rPr>
                        <w:rFonts w:ascii="Calibri"/>
                        <w:b/>
                      </w:rPr>
                    </w:pPr>
                    <w:r>
                      <w:rPr>
                        <w:rFonts w:ascii="Calibri"/>
                        <w:b/>
                      </w:rPr>
                      <w:t>Policy Categor</w:t>
                    </w:r>
                    <w:r>
                      <w:rPr>
                        <w:rFonts w:ascii="Calibri"/>
                        <w:b/>
                      </w:rPr>
                      <w:t>y:</w:t>
                    </w:r>
                  </w:p>
                  <w:p w:rsidR="00381765" w:rsidRDefault="006A1662">
                    <w:pPr>
                      <w:spacing w:before="10"/>
                      <w:ind w:left="20"/>
                      <w:rPr>
                        <w:rFonts w:ascii="Calibri"/>
                        <w:b/>
                      </w:rPr>
                    </w:pPr>
                    <w:r>
                      <w:rPr>
                        <w:rFonts w:ascii="Calibri"/>
                        <w:b/>
                        <w:color w:val="FF0000"/>
                      </w:rPr>
                      <w:t>CBA</w:t>
                    </w:r>
                  </w:p>
                  <w:p w:rsidR="00381765" w:rsidRDefault="006A1662">
                    <w:pPr>
                      <w:spacing w:before="38" w:line="273" w:lineRule="auto"/>
                      <w:ind w:left="20" w:right="2"/>
                      <w:rPr>
                        <w:rFonts w:ascii="Calibri"/>
                        <w:b/>
                      </w:rPr>
                    </w:pPr>
                    <w:r>
                      <w:rPr>
                        <w:rFonts w:ascii="Calibri"/>
                        <w:b/>
                      </w:rPr>
                      <w:t xml:space="preserve">Who usually applies for funding? </w:t>
                    </w:r>
                    <w:r>
                      <w:rPr>
                        <w:rFonts w:ascii="Calibri"/>
                        <w:b/>
                        <w:color w:val="FF0000"/>
                      </w:rPr>
                      <w:t>Not applicable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65"/>
    <w:rsid w:val="00044ED5"/>
    <w:rsid w:val="00381765"/>
    <w:rsid w:val="006A1662"/>
    <w:rsid w:val="008A1E4B"/>
    <w:rsid w:val="00A83ECE"/>
    <w:rsid w:val="00C55322"/>
    <w:rsid w:val="00CB0F20"/>
    <w:rsid w:val="00DA1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20"/>
      <w:outlineLvl w:val="0"/>
    </w:pPr>
    <w:rPr>
      <w:b/>
      <w:bCs/>
      <w:sz w:val="24"/>
      <w:szCs w:val="24"/>
    </w:rPr>
  </w:style>
  <w:style w:type="paragraph" w:styleId="Heading2">
    <w:name w:val="heading 2"/>
    <w:basedOn w:val="Normal"/>
    <w:uiPriority w:val="1"/>
    <w:qFormat/>
    <w:pPr>
      <w:ind w:left="2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3" w:lineRule="exact"/>
      <w:ind w:left="10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20"/>
      <w:outlineLvl w:val="0"/>
    </w:pPr>
    <w:rPr>
      <w:b/>
      <w:bCs/>
      <w:sz w:val="24"/>
      <w:szCs w:val="24"/>
    </w:rPr>
  </w:style>
  <w:style w:type="paragraph" w:styleId="Heading2">
    <w:name w:val="heading 2"/>
    <w:basedOn w:val="Normal"/>
    <w:uiPriority w:val="1"/>
    <w:qFormat/>
    <w:pPr>
      <w:ind w:left="2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3" w:lineRule="exact"/>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LCCG.IFR@nhs.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cp:lastModifiedBy>
  <cp:revision>2</cp:revision>
  <dcterms:created xsi:type="dcterms:W3CDTF">2019-07-18T13:32:00Z</dcterms:created>
  <dcterms:modified xsi:type="dcterms:W3CDTF">2019-07-18T13:32:00Z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Microsoft® Word 2010</vt:lpwstr>
  </property>
  <property fmtid="{D5CDD505-2E9C-101B-9397-08002B2CF9AE}" pid="4" name="LastSaved">
    <vt:filetime>2019-05-13T00:00:00Z</vt:filetime>
  </property>
</Properties>
</file>