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5AD" w:rsidRDefault="00E84BB4" w:rsidP="00E84BB4">
      <w:pPr>
        <w:jc w:val="right"/>
      </w:pPr>
      <w:r>
        <w:rPr>
          <w:noProof/>
          <w:lang w:eastAsia="en-GB"/>
        </w:rPr>
        <w:drawing>
          <wp:inline distT="0" distB="0" distL="0" distR="0">
            <wp:extent cx="2618203"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CG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9882" cy="908911"/>
                    </a:xfrm>
                    <a:prstGeom prst="rect">
                      <a:avLst/>
                    </a:prstGeom>
                  </pic:spPr>
                </pic:pic>
              </a:graphicData>
            </a:graphic>
          </wp:inline>
        </w:drawing>
      </w:r>
    </w:p>
    <w:p w:rsidR="00E84BB4" w:rsidRPr="00497E09" w:rsidRDefault="00497E09" w:rsidP="00497E09">
      <w:pPr>
        <w:jc w:val="center"/>
        <w:rPr>
          <w:b/>
          <w:sz w:val="28"/>
          <w:szCs w:val="28"/>
        </w:rPr>
      </w:pPr>
      <w:r w:rsidRPr="00497E09">
        <w:rPr>
          <w:b/>
          <w:sz w:val="28"/>
          <w:szCs w:val="28"/>
        </w:rPr>
        <w:t>Acupuncture Service in Tewkesbury, Newent &amp; Staunton (TNS) Locality</w:t>
      </w:r>
    </w:p>
    <w:p w:rsidR="00497E09" w:rsidRPr="00497E09" w:rsidRDefault="004E6F69" w:rsidP="00497E09">
      <w:pPr>
        <w:jc w:val="center"/>
        <w:rPr>
          <w:b/>
          <w:sz w:val="28"/>
          <w:szCs w:val="28"/>
        </w:rPr>
      </w:pPr>
      <w:r>
        <w:rPr>
          <w:b/>
          <w:sz w:val="28"/>
          <w:szCs w:val="28"/>
        </w:rPr>
        <w:t xml:space="preserve">Outcome of </w:t>
      </w:r>
      <w:r w:rsidR="003C5ECA">
        <w:rPr>
          <w:b/>
          <w:sz w:val="28"/>
          <w:szCs w:val="28"/>
        </w:rPr>
        <w:t>engagement report</w:t>
      </w:r>
    </w:p>
    <w:p w:rsidR="00497E09" w:rsidRPr="00497E09" w:rsidRDefault="00497E09" w:rsidP="00E84BB4">
      <w:pPr>
        <w:rPr>
          <w:b/>
          <w:sz w:val="24"/>
          <w:szCs w:val="24"/>
        </w:rPr>
      </w:pPr>
      <w:r w:rsidRPr="00497E09">
        <w:rPr>
          <w:b/>
          <w:sz w:val="24"/>
          <w:szCs w:val="24"/>
        </w:rPr>
        <w:t xml:space="preserve">Introduction </w:t>
      </w:r>
    </w:p>
    <w:p w:rsidR="00497E09" w:rsidRDefault="00497E09" w:rsidP="00E84BB4">
      <w:pPr>
        <w:rPr>
          <w:sz w:val="24"/>
          <w:szCs w:val="24"/>
        </w:rPr>
      </w:pPr>
      <w:r>
        <w:rPr>
          <w:sz w:val="24"/>
          <w:szCs w:val="24"/>
        </w:rPr>
        <w:t>As part of the current evaluation of the a</w:t>
      </w:r>
      <w:r w:rsidRPr="00497E09">
        <w:rPr>
          <w:sz w:val="24"/>
          <w:szCs w:val="24"/>
        </w:rPr>
        <w:t xml:space="preserve">cupuncture service in </w:t>
      </w:r>
      <w:r>
        <w:rPr>
          <w:sz w:val="24"/>
          <w:szCs w:val="24"/>
        </w:rPr>
        <w:t xml:space="preserve">the TNS locality, NHS Gloucestershire CCG has undertaken a short patient survey to try to understand the experience of those patients accessing the service and the impact they feel the service has had on their health and wellbeing. </w:t>
      </w:r>
      <w:r w:rsidR="00F15FDB">
        <w:rPr>
          <w:sz w:val="24"/>
          <w:szCs w:val="24"/>
        </w:rPr>
        <w:t xml:space="preserve">A copy of the survey is attached in Appendix 1. </w:t>
      </w:r>
    </w:p>
    <w:p w:rsidR="00F15FDB" w:rsidRDefault="008F73F5" w:rsidP="00E84BB4">
      <w:pPr>
        <w:rPr>
          <w:sz w:val="24"/>
          <w:szCs w:val="24"/>
        </w:rPr>
      </w:pPr>
      <w:r>
        <w:rPr>
          <w:sz w:val="24"/>
          <w:szCs w:val="24"/>
        </w:rPr>
        <w:t>In a typical week, the service is currently seeing approx</w:t>
      </w:r>
      <w:r w:rsidR="00F15FDB">
        <w:rPr>
          <w:sz w:val="24"/>
          <w:szCs w:val="24"/>
        </w:rPr>
        <w:t>imately</w:t>
      </w:r>
      <w:r>
        <w:rPr>
          <w:sz w:val="24"/>
          <w:szCs w:val="24"/>
        </w:rPr>
        <w:t xml:space="preserve"> 35 patients, </w:t>
      </w:r>
      <w:r w:rsidR="00754D36">
        <w:rPr>
          <w:sz w:val="24"/>
          <w:szCs w:val="24"/>
        </w:rPr>
        <w:t>which will include</w:t>
      </w:r>
      <w:r>
        <w:rPr>
          <w:sz w:val="24"/>
          <w:szCs w:val="24"/>
        </w:rPr>
        <w:t xml:space="preserve"> around 5 new patients </w:t>
      </w:r>
      <w:r w:rsidR="00754D36">
        <w:rPr>
          <w:sz w:val="24"/>
          <w:szCs w:val="24"/>
        </w:rPr>
        <w:t>a</w:t>
      </w:r>
      <w:r>
        <w:rPr>
          <w:sz w:val="24"/>
          <w:szCs w:val="24"/>
        </w:rPr>
        <w:t xml:space="preserve"> week.  </w:t>
      </w:r>
      <w:r w:rsidR="00754D36">
        <w:rPr>
          <w:sz w:val="24"/>
          <w:szCs w:val="24"/>
        </w:rPr>
        <w:t xml:space="preserve">Given the time constraints to undertake any patient engagement, it was agreed that </w:t>
      </w:r>
      <w:r w:rsidR="00F15FDB">
        <w:rPr>
          <w:sz w:val="24"/>
          <w:szCs w:val="24"/>
        </w:rPr>
        <w:t>a</w:t>
      </w:r>
      <w:r w:rsidR="00754D36">
        <w:rPr>
          <w:sz w:val="24"/>
          <w:szCs w:val="24"/>
        </w:rPr>
        <w:t xml:space="preserve"> survey would be distributed to all patients attending the service over a three week period at the end of November, early December. </w:t>
      </w:r>
      <w:r w:rsidR="00F15FDB">
        <w:rPr>
          <w:sz w:val="24"/>
          <w:szCs w:val="24"/>
        </w:rPr>
        <w:t xml:space="preserve">  The survey was available on-line and in a paper format, with Freepost address for replies.  </w:t>
      </w:r>
      <w:r w:rsidR="00E5127B">
        <w:rPr>
          <w:sz w:val="24"/>
          <w:szCs w:val="24"/>
        </w:rPr>
        <w:t>A</w:t>
      </w:r>
      <w:r w:rsidR="00F15FDB">
        <w:rPr>
          <w:sz w:val="24"/>
          <w:szCs w:val="24"/>
        </w:rPr>
        <w:t xml:space="preserve"> total of </w:t>
      </w:r>
      <w:r w:rsidR="00E5127B">
        <w:rPr>
          <w:sz w:val="24"/>
          <w:szCs w:val="24"/>
        </w:rPr>
        <w:t>24</w:t>
      </w:r>
      <w:r w:rsidR="00F15FDB">
        <w:rPr>
          <w:sz w:val="24"/>
          <w:szCs w:val="24"/>
        </w:rPr>
        <w:t xml:space="preserve"> completed questionnaires have been returned, which equates to approximately a </w:t>
      </w:r>
      <w:r w:rsidR="00E5127B">
        <w:rPr>
          <w:sz w:val="24"/>
          <w:szCs w:val="24"/>
        </w:rPr>
        <w:t>53</w:t>
      </w:r>
      <w:r w:rsidR="00F15FDB">
        <w:rPr>
          <w:sz w:val="24"/>
          <w:szCs w:val="24"/>
        </w:rPr>
        <w:t xml:space="preserve">% return. </w:t>
      </w:r>
    </w:p>
    <w:p w:rsidR="00561DB6" w:rsidRDefault="00561DB6" w:rsidP="00350A74">
      <w:pPr>
        <w:spacing w:after="0"/>
        <w:rPr>
          <w:sz w:val="24"/>
          <w:szCs w:val="24"/>
        </w:rPr>
      </w:pPr>
    </w:p>
    <w:p w:rsidR="00F15FDB" w:rsidRPr="00F15FDB" w:rsidRDefault="00F15FDB" w:rsidP="00E84BB4">
      <w:pPr>
        <w:rPr>
          <w:b/>
          <w:sz w:val="24"/>
          <w:szCs w:val="24"/>
        </w:rPr>
      </w:pPr>
      <w:r w:rsidRPr="00F15FDB">
        <w:rPr>
          <w:b/>
          <w:sz w:val="24"/>
          <w:szCs w:val="24"/>
        </w:rPr>
        <w:t>Results of the survey</w:t>
      </w:r>
    </w:p>
    <w:p w:rsidR="00497E09" w:rsidRDefault="004E6F69" w:rsidP="004E6F69">
      <w:pPr>
        <w:rPr>
          <w:sz w:val="24"/>
          <w:szCs w:val="24"/>
        </w:rPr>
      </w:pPr>
      <w:r>
        <w:rPr>
          <w:noProof/>
          <w:lang w:eastAsia="en-GB"/>
        </w:rPr>
        <w:drawing>
          <wp:anchor distT="0" distB="0" distL="114300" distR="114300" simplePos="0" relativeHeight="251658240" behindDoc="1" locked="0" layoutInCell="1" allowOverlap="1" wp14:anchorId="6A97A2A5" wp14:editId="56478FDF">
            <wp:simplePos x="0" y="0"/>
            <wp:positionH relativeFrom="column">
              <wp:posOffset>66675</wp:posOffset>
            </wp:positionH>
            <wp:positionV relativeFrom="paragraph">
              <wp:posOffset>793750</wp:posOffset>
            </wp:positionV>
            <wp:extent cx="5734050" cy="3338195"/>
            <wp:effectExtent l="0" t="0" r="19050" b="14605"/>
            <wp:wrapTight wrapText="bothSides">
              <wp:wrapPolygon edited="0">
                <wp:start x="0" y="0"/>
                <wp:lineTo x="0" y="21571"/>
                <wp:lineTo x="21600" y="21571"/>
                <wp:lineTo x="21600" y="0"/>
                <wp:lineTo x="0"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FB2424">
        <w:rPr>
          <w:sz w:val="24"/>
          <w:szCs w:val="24"/>
        </w:rPr>
        <w:t xml:space="preserve">The survey </w:t>
      </w:r>
      <w:r w:rsidR="004C0558">
        <w:rPr>
          <w:sz w:val="24"/>
          <w:szCs w:val="24"/>
        </w:rPr>
        <w:t>was</w:t>
      </w:r>
      <w:r w:rsidR="00FB2424">
        <w:rPr>
          <w:sz w:val="24"/>
          <w:szCs w:val="24"/>
        </w:rPr>
        <w:t xml:space="preserve"> designed to establish both </w:t>
      </w:r>
      <w:r w:rsidR="004C0558">
        <w:rPr>
          <w:sz w:val="24"/>
          <w:szCs w:val="24"/>
        </w:rPr>
        <w:t>the patient’s</w:t>
      </w:r>
      <w:r w:rsidR="00FB2424">
        <w:rPr>
          <w:sz w:val="24"/>
          <w:szCs w:val="24"/>
        </w:rPr>
        <w:t xml:space="preserve"> experience of being referred to the acupuncture service and the impact that the treatment has had</w:t>
      </w:r>
      <w:r w:rsidR="004C0558">
        <w:rPr>
          <w:sz w:val="24"/>
          <w:szCs w:val="24"/>
        </w:rPr>
        <w:t xml:space="preserve"> on their health and wellbeing.  Patients were asked to consider a series of short statements:</w:t>
      </w:r>
    </w:p>
    <w:p w:rsidR="004C0558" w:rsidRDefault="004C0558" w:rsidP="00E84BB4">
      <w:pPr>
        <w:rPr>
          <w:sz w:val="24"/>
          <w:szCs w:val="24"/>
        </w:rPr>
      </w:pPr>
    </w:p>
    <w:p w:rsidR="004C0558" w:rsidRDefault="004E6F69" w:rsidP="00E84BB4">
      <w:pPr>
        <w:rPr>
          <w:sz w:val="24"/>
          <w:szCs w:val="24"/>
        </w:rPr>
      </w:pPr>
      <w:r>
        <w:rPr>
          <w:noProof/>
          <w:lang w:eastAsia="en-GB"/>
        </w:rPr>
        <w:drawing>
          <wp:inline distT="0" distB="0" distL="0" distR="0" wp14:anchorId="25BB38DF" wp14:editId="75E1B19A">
            <wp:extent cx="5724525" cy="3276600"/>
            <wp:effectExtent l="0" t="0" r="952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C0558" w:rsidRDefault="004C0558" w:rsidP="004C0558">
      <w:pPr>
        <w:rPr>
          <w:sz w:val="24"/>
          <w:szCs w:val="24"/>
        </w:rPr>
      </w:pPr>
      <w:r>
        <w:rPr>
          <w:sz w:val="24"/>
          <w:szCs w:val="24"/>
        </w:rPr>
        <w:t xml:space="preserve">The Friends and Family Test question was included to gauge overall satisfaction of the service, together with the option to leave any other comments or suggestions. </w:t>
      </w:r>
    </w:p>
    <w:p w:rsidR="00473724" w:rsidRDefault="004E6F69" w:rsidP="004C0558">
      <w:pPr>
        <w:jc w:val="center"/>
        <w:rPr>
          <w:sz w:val="24"/>
          <w:szCs w:val="24"/>
        </w:rPr>
      </w:pPr>
      <w:r>
        <w:rPr>
          <w:noProof/>
          <w:lang w:eastAsia="en-GB"/>
        </w:rPr>
        <w:drawing>
          <wp:inline distT="0" distB="0" distL="0" distR="0" wp14:anchorId="55FAF0C4" wp14:editId="120368D4">
            <wp:extent cx="4886325" cy="2933700"/>
            <wp:effectExtent l="0" t="0" r="9525"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B7403" w:rsidRDefault="001B7403" w:rsidP="004C0558">
      <w:pPr>
        <w:rPr>
          <w:sz w:val="24"/>
          <w:szCs w:val="24"/>
        </w:rPr>
      </w:pPr>
      <w:r>
        <w:rPr>
          <w:sz w:val="24"/>
          <w:szCs w:val="24"/>
        </w:rPr>
        <w:t xml:space="preserve">A small number of comments were made in the final section of the </w:t>
      </w:r>
      <w:r w:rsidR="00D51B6E">
        <w:rPr>
          <w:sz w:val="24"/>
          <w:szCs w:val="24"/>
        </w:rPr>
        <w:t>questionnaire</w:t>
      </w:r>
      <w:r>
        <w:rPr>
          <w:sz w:val="24"/>
          <w:szCs w:val="24"/>
        </w:rPr>
        <w:t xml:space="preserve">.  All of them reported a positive benefit from the service, </w:t>
      </w:r>
      <w:proofErr w:type="spellStart"/>
      <w:r>
        <w:rPr>
          <w:sz w:val="24"/>
          <w:szCs w:val="24"/>
        </w:rPr>
        <w:t>eg</w:t>
      </w:r>
      <w:proofErr w:type="spellEnd"/>
      <w:r>
        <w:rPr>
          <w:sz w:val="24"/>
          <w:szCs w:val="24"/>
        </w:rPr>
        <w:t xml:space="preserve">: </w:t>
      </w:r>
    </w:p>
    <w:p w:rsidR="001B7403" w:rsidRDefault="001B7403" w:rsidP="001B7403">
      <w:pPr>
        <w:ind w:left="720"/>
        <w:rPr>
          <w:sz w:val="24"/>
          <w:szCs w:val="24"/>
        </w:rPr>
      </w:pPr>
      <w:r>
        <w:rPr>
          <w:sz w:val="24"/>
          <w:szCs w:val="24"/>
        </w:rPr>
        <w:t>“</w:t>
      </w:r>
      <w:r w:rsidRPr="001B7403">
        <w:rPr>
          <w:sz w:val="24"/>
          <w:szCs w:val="24"/>
        </w:rPr>
        <w:t>Due to medication and acupuncture my life has resumed it</w:t>
      </w:r>
      <w:r w:rsidR="00D54BED">
        <w:rPr>
          <w:sz w:val="24"/>
          <w:szCs w:val="24"/>
        </w:rPr>
        <w:t>s</w:t>
      </w:r>
      <w:r w:rsidRPr="001B7403">
        <w:rPr>
          <w:sz w:val="24"/>
          <w:szCs w:val="24"/>
        </w:rPr>
        <w:t xml:space="preserve"> normal (to me) state of health.  I have been given utter and complete understanding and feel happier today because of the acupuncture</w:t>
      </w:r>
      <w:r>
        <w:rPr>
          <w:sz w:val="24"/>
          <w:szCs w:val="24"/>
        </w:rPr>
        <w:t>, and I am even sleeping better”.</w:t>
      </w:r>
    </w:p>
    <w:p w:rsidR="001B7403" w:rsidRDefault="001B7403" w:rsidP="004C0558">
      <w:pPr>
        <w:rPr>
          <w:sz w:val="24"/>
          <w:szCs w:val="24"/>
        </w:rPr>
      </w:pPr>
      <w:r>
        <w:rPr>
          <w:sz w:val="24"/>
          <w:szCs w:val="24"/>
        </w:rPr>
        <w:t>“</w:t>
      </w:r>
      <w:r w:rsidRPr="001B7403">
        <w:rPr>
          <w:sz w:val="24"/>
          <w:szCs w:val="24"/>
        </w:rPr>
        <w:t>I have found acupuncture has helped me deal with my IBS a great deal and has improved it immensely. Mr Lister is very good with any questions I have concerning it and always explains things to me in a manner I understand</w:t>
      </w:r>
      <w:r>
        <w:rPr>
          <w:sz w:val="24"/>
          <w:szCs w:val="24"/>
        </w:rPr>
        <w:t>”</w:t>
      </w:r>
      <w:r w:rsidRPr="001B7403">
        <w:rPr>
          <w:sz w:val="24"/>
          <w:szCs w:val="24"/>
        </w:rPr>
        <w:t>.</w:t>
      </w:r>
    </w:p>
    <w:p w:rsidR="001B7403" w:rsidRDefault="001B7403" w:rsidP="001B7403">
      <w:pPr>
        <w:ind w:left="720"/>
        <w:rPr>
          <w:sz w:val="24"/>
          <w:szCs w:val="24"/>
        </w:rPr>
      </w:pPr>
      <w:r>
        <w:rPr>
          <w:sz w:val="24"/>
          <w:szCs w:val="24"/>
        </w:rPr>
        <w:lastRenderedPageBreak/>
        <w:t>“</w:t>
      </w:r>
      <w:r w:rsidRPr="001B7403">
        <w:rPr>
          <w:sz w:val="24"/>
          <w:szCs w:val="24"/>
        </w:rPr>
        <w:t>The service provided from GP to referral and appointment has been excellent and very professional</w:t>
      </w:r>
      <w:r>
        <w:rPr>
          <w:sz w:val="24"/>
          <w:szCs w:val="24"/>
        </w:rPr>
        <w:t>”.</w:t>
      </w:r>
    </w:p>
    <w:p w:rsidR="001B7403" w:rsidRDefault="00D51B6E" w:rsidP="00561DB6">
      <w:pPr>
        <w:rPr>
          <w:sz w:val="24"/>
          <w:szCs w:val="24"/>
        </w:rPr>
      </w:pPr>
      <w:r>
        <w:rPr>
          <w:sz w:val="24"/>
          <w:szCs w:val="24"/>
        </w:rPr>
        <w:t>“</w:t>
      </w:r>
      <w:r w:rsidRPr="00D51B6E">
        <w:rPr>
          <w:sz w:val="24"/>
          <w:szCs w:val="24"/>
        </w:rPr>
        <w:t xml:space="preserve">Not sure if it helped as I am in a lot of pain most of the time. I do think it helped with </w:t>
      </w:r>
      <w:r>
        <w:rPr>
          <w:sz w:val="24"/>
          <w:szCs w:val="24"/>
        </w:rPr>
        <w:t>my neck pain and pain in thumbs”.</w:t>
      </w:r>
    </w:p>
    <w:p w:rsidR="00B94648" w:rsidRDefault="00B94648" w:rsidP="00B94648">
      <w:pPr>
        <w:ind w:firstLine="720"/>
        <w:rPr>
          <w:sz w:val="24"/>
          <w:szCs w:val="24"/>
        </w:rPr>
      </w:pPr>
      <w:bookmarkStart w:id="0" w:name="_GoBack"/>
      <w:bookmarkEnd w:id="0"/>
      <w:r>
        <w:rPr>
          <w:sz w:val="24"/>
          <w:szCs w:val="24"/>
        </w:rPr>
        <w:t>“</w:t>
      </w:r>
      <w:r w:rsidRPr="00B94648">
        <w:rPr>
          <w:sz w:val="24"/>
          <w:szCs w:val="24"/>
        </w:rPr>
        <w:t>My headaches are very much better, but sadly no improvement with my balance</w:t>
      </w:r>
      <w:r>
        <w:rPr>
          <w:sz w:val="24"/>
          <w:szCs w:val="24"/>
        </w:rPr>
        <w:t>”.</w:t>
      </w:r>
    </w:p>
    <w:p w:rsidR="00561DB6" w:rsidRDefault="00561DB6" w:rsidP="00350A74">
      <w:pPr>
        <w:spacing w:after="0"/>
        <w:rPr>
          <w:sz w:val="24"/>
          <w:szCs w:val="24"/>
        </w:rPr>
      </w:pPr>
    </w:p>
    <w:p w:rsidR="00D51B6E" w:rsidRPr="00D51B6E" w:rsidRDefault="00D51B6E" w:rsidP="004C0558">
      <w:pPr>
        <w:rPr>
          <w:b/>
          <w:sz w:val="24"/>
          <w:szCs w:val="24"/>
        </w:rPr>
      </w:pPr>
      <w:r w:rsidRPr="00D51B6E">
        <w:rPr>
          <w:b/>
          <w:sz w:val="24"/>
          <w:szCs w:val="24"/>
        </w:rPr>
        <w:t xml:space="preserve">Demographic information </w:t>
      </w:r>
    </w:p>
    <w:p w:rsidR="004C0558" w:rsidRDefault="004C0558" w:rsidP="004C0558">
      <w:pPr>
        <w:rPr>
          <w:sz w:val="24"/>
          <w:szCs w:val="24"/>
        </w:rPr>
      </w:pPr>
      <w:r>
        <w:rPr>
          <w:sz w:val="24"/>
          <w:szCs w:val="24"/>
        </w:rPr>
        <w:t xml:space="preserve">Demographic information was </w:t>
      </w:r>
      <w:r w:rsidR="00D51B6E">
        <w:rPr>
          <w:sz w:val="24"/>
          <w:szCs w:val="24"/>
        </w:rPr>
        <w:t>also collected</w:t>
      </w:r>
      <w:r>
        <w:rPr>
          <w:sz w:val="24"/>
          <w:szCs w:val="24"/>
        </w:rPr>
        <w:t xml:space="preserve"> to </w:t>
      </w:r>
      <w:r w:rsidR="00523F53">
        <w:rPr>
          <w:sz w:val="24"/>
          <w:szCs w:val="24"/>
        </w:rPr>
        <w:t xml:space="preserve">help ensure </w:t>
      </w:r>
      <w:r>
        <w:rPr>
          <w:sz w:val="24"/>
          <w:szCs w:val="24"/>
        </w:rPr>
        <w:t>equity of service.</w:t>
      </w:r>
      <w:r w:rsidR="00523F53">
        <w:rPr>
          <w:sz w:val="24"/>
          <w:szCs w:val="24"/>
        </w:rPr>
        <w:t xml:space="preserve">  6</w:t>
      </w:r>
      <w:r w:rsidR="006A3217">
        <w:rPr>
          <w:sz w:val="24"/>
          <w:szCs w:val="24"/>
        </w:rPr>
        <w:t>2</w:t>
      </w:r>
      <w:r w:rsidR="00523F53">
        <w:rPr>
          <w:sz w:val="24"/>
          <w:szCs w:val="24"/>
        </w:rPr>
        <w:t>% of the respondents were female; 3</w:t>
      </w:r>
      <w:r w:rsidR="006A3217">
        <w:rPr>
          <w:sz w:val="24"/>
          <w:szCs w:val="24"/>
        </w:rPr>
        <w:t>8</w:t>
      </w:r>
      <w:r w:rsidR="00523F53">
        <w:rPr>
          <w:sz w:val="24"/>
          <w:szCs w:val="24"/>
        </w:rPr>
        <w:t>% male.    The majority of patients were aged between 46 and 75 and all of the patients described themselves as being of White British origin.  Most patients reported that their overall health in the past four weeks had been good, very good or excellent; although a significant number (2</w:t>
      </w:r>
      <w:r w:rsidR="006A3217">
        <w:rPr>
          <w:sz w:val="24"/>
          <w:szCs w:val="24"/>
        </w:rPr>
        <w:t>5</w:t>
      </w:r>
      <w:r w:rsidR="00523F53">
        <w:rPr>
          <w:sz w:val="24"/>
          <w:szCs w:val="24"/>
        </w:rPr>
        <w:t xml:space="preserve">%) described their health as poor.  A full breakdown of the demographic information is shown in Appendix 2.  </w:t>
      </w:r>
    </w:p>
    <w:p w:rsidR="00FA5D1C" w:rsidRDefault="00FA5D1C" w:rsidP="00350A74">
      <w:pPr>
        <w:spacing w:after="0"/>
        <w:rPr>
          <w:sz w:val="24"/>
          <w:szCs w:val="24"/>
        </w:rPr>
      </w:pPr>
    </w:p>
    <w:p w:rsidR="008022C6" w:rsidRDefault="008022C6" w:rsidP="004C0558">
      <w:pPr>
        <w:rPr>
          <w:sz w:val="24"/>
          <w:szCs w:val="24"/>
        </w:rPr>
      </w:pPr>
    </w:p>
    <w:p w:rsidR="003C5ECA" w:rsidRDefault="003C5ECA" w:rsidP="003C5ECA">
      <w:pPr>
        <w:spacing w:after="0" w:line="240" w:lineRule="auto"/>
        <w:rPr>
          <w:sz w:val="24"/>
          <w:szCs w:val="24"/>
        </w:rPr>
      </w:pPr>
      <w:r>
        <w:rPr>
          <w:sz w:val="24"/>
          <w:szCs w:val="24"/>
        </w:rPr>
        <w:t>Caroline Smith</w:t>
      </w:r>
    </w:p>
    <w:p w:rsidR="00391AEB" w:rsidRDefault="00391AEB" w:rsidP="003C5ECA">
      <w:pPr>
        <w:spacing w:after="0" w:line="240" w:lineRule="auto"/>
        <w:rPr>
          <w:sz w:val="24"/>
          <w:szCs w:val="24"/>
        </w:rPr>
      </w:pPr>
      <w:r>
        <w:rPr>
          <w:sz w:val="24"/>
          <w:szCs w:val="24"/>
        </w:rPr>
        <w:t>Senior Manager, Engagement &amp; Inclusion</w:t>
      </w:r>
    </w:p>
    <w:p w:rsidR="00391AEB" w:rsidRDefault="00391AEB" w:rsidP="003C5ECA">
      <w:pPr>
        <w:spacing w:after="0" w:line="240" w:lineRule="auto"/>
        <w:rPr>
          <w:sz w:val="24"/>
          <w:szCs w:val="24"/>
        </w:rPr>
      </w:pPr>
    </w:p>
    <w:p w:rsidR="00497E09" w:rsidRDefault="004E6F69" w:rsidP="00A6412F">
      <w:pPr>
        <w:spacing w:after="0" w:line="240" w:lineRule="auto"/>
      </w:pPr>
      <w:r>
        <w:rPr>
          <w:sz w:val="24"/>
          <w:szCs w:val="24"/>
        </w:rPr>
        <w:t>10 February 2015</w:t>
      </w:r>
    </w:p>
    <w:sectPr w:rsidR="00497E09" w:rsidSect="00473724">
      <w:footerReference w:type="default" r:id="rId12"/>
      <w:pgSz w:w="11906" w:h="16838"/>
      <w:pgMar w:top="709" w:right="991"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DB6" w:rsidRDefault="00561DB6" w:rsidP="00561DB6">
      <w:pPr>
        <w:spacing w:after="0" w:line="240" w:lineRule="auto"/>
      </w:pPr>
      <w:r>
        <w:separator/>
      </w:r>
    </w:p>
  </w:endnote>
  <w:endnote w:type="continuationSeparator" w:id="0">
    <w:p w:rsidR="00561DB6" w:rsidRDefault="00561DB6" w:rsidP="0056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86823"/>
      <w:docPartObj>
        <w:docPartGallery w:val="Page Numbers (Bottom of Page)"/>
        <w:docPartUnique/>
      </w:docPartObj>
    </w:sdtPr>
    <w:sdtEndPr/>
    <w:sdtContent>
      <w:sdt>
        <w:sdtPr>
          <w:id w:val="860082579"/>
          <w:docPartObj>
            <w:docPartGallery w:val="Page Numbers (Top of Page)"/>
            <w:docPartUnique/>
          </w:docPartObj>
        </w:sdtPr>
        <w:sdtEndPr/>
        <w:sdtContent>
          <w:p w:rsidR="00561DB6" w:rsidRDefault="00561DB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9464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4648">
              <w:rPr>
                <w:b/>
                <w:bCs/>
                <w:noProof/>
              </w:rPr>
              <w:t>3</w:t>
            </w:r>
            <w:r>
              <w:rPr>
                <w:b/>
                <w:bCs/>
                <w:sz w:val="24"/>
                <w:szCs w:val="24"/>
              </w:rPr>
              <w:fldChar w:fldCharType="end"/>
            </w:r>
          </w:p>
        </w:sdtContent>
      </w:sdt>
    </w:sdtContent>
  </w:sdt>
  <w:p w:rsidR="00561DB6" w:rsidRDefault="00561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DB6" w:rsidRDefault="00561DB6" w:rsidP="00561DB6">
      <w:pPr>
        <w:spacing w:after="0" w:line="240" w:lineRule="auto"/>
      </w:pPr>
      <w:r>
        <w:separator/>
      </w:r>
    </w:p>
  </w:footnote>
  <w:footnote w:type="continuationSeparator" w:id="0">
    <w:p w:rsidR="00561DB6" w:rsidRDefault="00561DB6" w:rsidP="00561D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BB4"/>
    <w:rsid w:val="0000161A"/>
    <w:rsid w:val="00003522"/>
    <w:rsid w:val="000052E2"/>
    <w:rsid w:val="000077D7"/>
    <w:rsid w:val="00007EB2"/>
    <w:rsid w:val="0002043C"/>
    <w:rsid w:val="000210AD"/>
    <w:rsid w:val="00026A14"/>
    <w:rsid w:val="00026D0E"/>
    <w:rsid w:val="000270C2"/>
    <w:rsid w:val="0002772F"/>
    <w:rsid w:val="000302CB"/>
    <w:rsid w:val="00030910"/>
    <w:rsid w:val="00030FC3"/>
    <w:rsid w:val="0003106B"/>
    <w:rsid w:val="000361CB"/>
    <w:rsid w:val="00043BCC"/>
    <w:rsid w:val="00045FCB"/>
    <w:rsid w:val="000532B3"/>
    <w:rsid w:val="000558AC"/>
    <w:rsid w:val="00062E06"/>
    <w:rsid w:val="00075A04"/>
    <w:rsid w:val="00075CA9"/>
    <w:rsid w:val="00077119"/>
    <w:rsid w:val="000802BB"/>
    <w:rsid w:val="000819F7"/>
    <w:rsid w:val="00083162"/>
    <w:rsid w:val="000846F5"/>
    <w:rsid w:val="00085363"/>
    <w:rsid w:val="00085B45"/>
    <w:rsid w:val="00090209"/>
    <w:rsid w:val="0009336D"/>
    <w:rsid w:val="000970A8"/>
    <w:rsid w:val="000A1E20"/>
    <w:rsid w:val="000A301E"/>
    <w:rsid w:val="000A3C3D"/>
    <w:rsid w:val="000A4A01"/>
    <w:rsid w:val="000A4B78"/>
    <w:rsid w:val="000A5E56"/>
    <w:rsid w:val="000B1897"/>
    <w:rsid w:val="000B31EB"/>
    <w:rsid w:val="000B6553"/>
    <w:rsid w:val="000B7AB2"/>
    <w:rsid w:val="000C148B"/>
    <w:rsid w:val="000C422D"/>
    <w:rsid w:val="000C72CD"/>
    <w:rsid w:val="000D0373"/>
    <w:rsid w:val="000D3BC0"/>
    <w:rsid w:val="000E05A6"/>
    <w:rsid w:val="000E2658"/>
    <w:rsid w:val="000E30A3"/>
    <w:rsid w:val="000E505C"/>
    <w:rsid w:val="000F0013"/>
    <w:rsid w:val="000F0F99"/>
    <w:rsid w:val="000F3C28"/>
    <w:rsid w:val="000F4895"/>
    <w:rsid w:val="000F606F"/>
    <w:rsid w:val="000F6D5B"/>
    <w:rsid w:val="00100E51"/>
    <w:rsid w:val="00103FA7"/>
    <w:rsid w:val="0010631F"/>
    <w:rsid w:val="00106EE1"/>
    <w:rsid w:val="001107D7"/>
    <w:rsid w:val="001167AE"/>
    <w:rsid w:val="00116A27"/>
    <w:rsid w:val="00123370"/>
    <w:rsid w:val="00126D9D"/>
    <w:rsid w:val="00126F1B"/>
    <w:rsid w:val="0013629D"/>
    <w:rsid w:val="00140E77"/>
    <w:rsid w:val="00141B06"/>
    <w:rsid w:val="001474A0"/>
    <w:rsid w:val="00157B68"/>
    <w:rsid w:val="00160440"/>
    <w:rsid w:val="0016102E"/>
    <w:rsid w:val="001610C8"/>
    <w:rsid w:val="001623DF"/>
    <w:rsid w:val="0016444F"/>
    <w:rsid w:val="00164714"/>
    <w:rsid w:val="00166D08"/>
    <w:rsid w:val="00172D43"/>
    <w:rsid w:val="001740DC"/>
    <w:rsid w:val="0017552F"/>
    <w:rsid w:val="00175885"/>
    <w:rsid w:val="00185037"/>
    <w:rsid w:val="0018528B"/>
    <w:rsid w:val="00187535"/>
    <w:rsid w:val="00195739"/>
    <w:rsid w:val="001A0F02"/>
    <w:rsid w:val="001A491C"/>
    <w:rsid w:val="001A5850"/>
    <w:rsid w:val="001A5909"/>
    <w:rsid w:val="001A6BA1"/>
    <w:rsid w:val="001B0895"/>
    <w:rsid w:val="001B3558"/>
    <w:rsid w:val="001B7131"/>
    <w:rsid w:val="001B7403"/>
    <w:rsid w:val="001C284F"/>
    <w:rsid w:val="001C350D"/>
    <w:rsid w:val="001C402D"/>
    <w:rsid w:val="001C47D7"/>
    <w:rsid w:val="001D0774"/>
    <w:rsid w:val="001D2459"/>
    <w:rsid w:val="001D7D9B"/>
    <w:rsid w:val="001E26B6"/>
    <w:rsid w:val="001E4AB5"/>
    <w:rsid w:val="001E4F7A"/>
    <w:rsid w:val="001E65AD"/>
    <w:rsid w:val="001F5B3F"/>
    <w:rsid w:val="001F7690"/>
    <w:rsid w:val="002001F6"/>
    <w:rsid w:val="0022065D"/>
    <w:rsid w:val="002207FF"/>
    <w:rsid w:val="002210AC"/>
    <w:rsid w:val="0022267D"/>
    <w:rsid w:val="00222DBE"/>
    <w:rsid w:val="00226BDA"/>
    <w:rsid w:val="00226CAF"/>
    <w:rsid w:val="002278C3"/>
    <w:rsid w:val="00235580"/>
    <w:rsid w:val="00245442"/>
    <w:rsid w:val="00250D8E"/>
    <w:rsid w:val="00251904"/>
    <w:rsid w:val="00253C62"/>
    <w:rsid w:val="00260093"/>
    <w:rsid w:val="00270237"/>
    <w:rsid w:val="00277297"/>
    <w:rsid w:val="00281690"/>
    <w:rsid w:val="00284F97"/>
    <w:rsid w:val="00286770"/>
    <w:rsid w:val="00287A26"/>
    <w:rsid w:val="002943B3"/>
    <w:rsid w:val="002A6899"/>
    <w:rsid w:val="002A6F59"/>
    <w:rsid w:val="002A7139"/>
    <w:rsid w:val="002A78DC"/>
    <w:rsid w:val="002B01B7"/>
    <w:rsid w:val="002B1AE2"/>
    <w:rsid w:val="002B4701"/>
    <w:rsid w:val="002B4A71"/>
    <w:rsid w:val="002B520F"/>
    <w:rsid w:val="002B7D38"/>
    <w:rsid w:val="002C4A23"/>
    <w:rsid w:val="002C6C6A"/>
    <w:rsid w:val="002C7F53"/>
    <w:rsid w:val="002D5581"/>
    <w:rsid w:val="002E095A"/>
    <w:rsid w:val="002E563F"/>
    <w:rsid w:val="002E710C"/>
    <w:rsid w:val="002F1F2D"/>
    <w:rsid w:val="002F2DFB"/>
    <w:rsid w:val="002F7F37"/>
    <w:rsid w:val="00302087"/>
    <w:rsid w:val="0030457A"/>
    <w:rsid w:val="0030496F"/>
    <w:rsid w:val="003060C8"/>
    <w:rsid w:val="003170F4"/>
    <w:rsid w:val="00321229"/>
    <w:rsid w:val="00325E69"/>
    <w:rsid w:val="0032793B"/>
    <w:rsid w:val="0033154C"/>
    <w:rsid w:val="003367B6"/>
    <w:rsid w:val="00341EF5"/>
    <w:rsid w:val="00346F0B"/>
    <w:rsid w:val="00350A74"/>
    <w:rsid w:val="00350E26"/>
    <w:rsid w:val="0035155B"/>
    <w:rsid w:val="0035371F"/>
    <w:rsid w:val="00354F81"/>
    <w:rsid w:val="0035594D"/>
    <w:rsid w:val="00356CEC"/>
    <w:rsid w:val="00362771"/>
    <w:rsid w:val="00372487"/>
    <w:rsid w:val="00374E8F"/>
    <w:rsid w:val="00374F74"/>
    <w:rsid w:val="0038068B"/>
    <w:rsid w:val="003822B1"/>
    <w:rsid w:val="00387F85"/>
    <w:rsid w:val="00391AEB"/>
    <w:rsid w:val="003949AA"/>
    <w:rsid w:val="003A170F"/>
    <w:rsid w:val="003A6FE4"/>
    <w:rsid w:val="003B0548"/>
    <w:rsid w:val="003B0B18"/>
    <w:rsid w:val="003B0D7E"/>
    <w:rsid w:val="003B3B3D"/>
    <w:rsid w:val="003B5283"/>
    <w:rsid w:val="003C01C3"/>
    <w:rsid w:val="003C241F"/>
    <w:rsid w:val="003C3C76"/>
    <w:rsid w:val="003C4A6A"/>
    <w:rsid w:val="003C5ECA"/>
    <w:rsid w:val="003D55B8"/>
    <w:rsid w:val="003E1AA8"/>
    <w:rsid w:val="003F0E51"/>
    <w:rsid w:val="003F168F"/>
    <w:rsid w:val="00400EE8"/>
    <w:rsid w:val="00407CA1"/>
    <w:rsid w:val="00410BA9"/>
    <w:rsid w:val="00411E90"/>
    <w:rsid w:val="0041428C"/>
    <w:rsid w:val="004244A8"/>
    <w:rsid w:val="00424D4B"/>
    <w:rsid w:val="00425D47"/>
    <w:rsid w:val="00425D58"/>
    <w:rsid w:val="00426092"/>
    <w:rsid w:val="0042625B"/>
    <w:rsid w:val="00426AD6"/>
    <w:rsid w:val="00430B37"/>
    <w:rsid w:val="004330E1"/>
    <w:rsid w:val="004346D3"/>
    <w:rsid w:val="00437692"/>
    <w:rsid w:val="004408AB"/>
    <w:rsid w:val="00444C34"/>
    <w:rsid w:val="00445EF8"/>
    <w:rsid w:val="0044765D"/>
    <w:rsid w:val="00447969"/>
    <w:rsid w:val="004501A0"/>
    <w:rsid w:val="00457BB2"/>
    <w:rsid w:val="00460FC3"/>
    <w:rsid w:val="00462049"/>
    <w:rsid w:val="00467F1A"/>
    <w:rsid w:val="004715D6"/>
    <w:rsid w:val="00473724"/>
    <w:rsid w:val="00474F2A"/>
    <w:rsid w:val="004779C6"/>
    <w:rsid w:val="00482C3F"/>
    <w:rsid w:val="00486BBF"/>
    <w:rsid w:val="004933F1"/>
    <w:rsid w:val="00493664"/>
    <w:rsid w:val="00497E09"/>
    <w:rsid w:val="004A299F"/>
    <w:rsid w:val="004B3075"/>
    <w:rsid w:val="004B6DAB"/>
    <w:rsid w:val="004C0558"/>
    <w:rsid w:val="004C35DB"/>
    <w:rsid w:val="004C3845"/>
    <w:rsid w:val="004C5EE0"/>
    <w:rsid w:val="004D6E8A"/>
    <w:rsid w:val="004D75E1"/>
    <w:rsid w:val="004E1E8F"/>
    <w:rsid w:val="004E24E0"/>
    <w:rsid w:val="004E6F69"/>
    <w:rsid w:val="004F516D"/>
    <w:rsid w:val="00501A2F"/>
    <w:rsid w:val="005026F6"/>
    <w:rsid w:val="0050344E"/>
    <w:rsid w:val="00503714"/>
    <w:rsid w:val="00507A92"/>
    <w:rsid w:val="005128EA"/>
    <w:rsid w:val="00523F53"/>
    <w:rsid w:val="0052430B"/>
    <w:rsid w:val="00524C35"/>
    <w:rsid w:val="00527B54"/>
    <w:rsid w:val="00531F04"/>
    <w:rsid w:val="00532F13"/>
    <w:rsid w:val="005343D3"/>
    <w:rsid w:val="00541FDB"/>
    <w:rsid w:val="00544AB4"/>
    <w:rsid w:val="0054596A"/>
    <w:rsid w:val="00545B81"/>
    <w:rsid w:val="005460DB"/>
    <w:rsid w:val="00555117"/>
    <w:rsid w:val="005600AB"/>
    <w:rsid w:val="00561DB6"/>
    <w:rsid w:val="0056520A"/>
    <w:rsid w:val="00570C02"/>
    <w:rsid w:val="00574273"/>
    <w:rsid w:val="005843B7"/>
    <w:rsid w:val="00584EDC"/>
    <w:rsid w:val="00585BC0"/>
    <w:rsid w:val="0059238C"/>
    <w:rsid w:val="005A4F51"/>
    <w:rsid w:val="005B3400"/>
    <w:rsid w:val="005B6475"/>
    <w:rsid w:val="005B68A3"/>
    <w:rsid w:val="005B7369"/>
    <w:rsid w:val="005B770C"/>
    <w:rsid w:val="005B781D"/>
    <w:rsid w:val="005C5A8B"/>
    <w:rsid w:val="005C7C6D"/>
    <w:rsid w:val="005D3D2C"/>
    <w:rsid w:val="005E2708"/>
    <w:rsid w:val="005F2B9B"/>
    <w:rsid w:val="005F7C6A"/>
    <w:rsid w:val="0060189C"/>
    <w:rsid w:val="00606B47"/>
    <w:rsid w:val="00611FFC"/>
    <w:rsid w:val="006126DA"/>
    <w:rsid w:val="006177F0"/>
    <w:rsid w:val="00621D00"/>
    <w:rsid w:val="00624AEA"/>
    <w:rsid w:val="00625B02"/>
    <w:rsid w:val="0063147C"/>
    <w:rsid w:val="00631826"/>
    <w:rsid w:val="006379C0"/>
    <w:rsid w:val="006401D6"/>
    <w:rsid w:val="006404FA"/>
    <w:rsid w:val="006417A4"/>
    <w:rsid w:val="006435E8"/>
    <w:rsid w:val="006456B5"/>
    <w:rsid w:val="006468C8"/>
    <w:rsid w:val="00646D57"/>
    <w:rsid w:val="00656B68"/>
    <w:rsid w:val="0066024C"/>
    <w:rsid w:val="00666004"/>
    <w:rsid w:val="00670B62"/>
    <w:rsid w:val="0067643D"/>
    <w:rsid w:val="0068549D"/>
    <w:rsid w:val="00686A2B"/>
    <w:rsid w:val="006955AC"/>
    <w:rsid w:val="00695999"/>
    <w:rsid w:val="006A3217"/>
    <w:rsid w:val="006A63E0"/>
    <w:rsid w:val="006B3E81"/>
    <w:rsid w:val="006B4754"/>
    <w:rsid w:val="006C2525"/>
    <w:rsid w:val="006C2F21"/>
    <w:rsid w:val="006C605B"/>
    <w:rsid w:val="006D3D92"/>
    <w:rsid w:val="006D5E36"/>
    <w:rsid w:val="006E47DF"/>
    <w:rsid w:val="006F5023"/>
    <w:rsid w:val="00704DCA"/>
    <w:rsid w:val="0070596E"/>
    <w:rsid w:val="007106C7"/>
    <w:rsid w:val="007242D1"/>
    <w:rsid w:val="007357B9"/>
    <w:rsid w:val="00746350"/>
    <w:rsid w:val="007466A9"/>
    <w:rsid w:val="0075241E"/>
    <w:rsid w:val="00754D36"/>
    <w:rsid w:val="00756F3A"/>
    <w:rsid w:val="00771A5F"/>
    <w:rsid w:val="007728E9"/>
    <w:rsid w:val="00780071"/>
    <w:rsid w:val="007801CA"/>
    <w:rsid w:val="00782916"/>
    <w:rsid w:val="00785ACA"/>
    <w:rsid w:val="00785E18"/>
    <w:rsid w:val="007905CE"/>
    <w:rsid w:val="00790E8C"/>
    <w:rsid w:val="00793BA4"/>
    <w:rsid w:val="00797228"/>
    <w:rsid w:val="00797D08"/>
    <w:rsid w:val="007A1F9B"/>
    <w:rsid w:val="007C2B63"/>
    <w:rsid w:val="007C40A2"/>
    <w:rsid w:val="007D7637"/>
    <w:rsid w:val="007E3A58"/>
    <w:rsid w:val="007E447A"/>
    <w:rsid w:val="007E4A44"/>
    <w:rsid w:val="007F01A3"/>
    <w:rsid w:val="007F30CE"/>
    <w:rsid w:val="008022C6"/>
    <w:rsid w:val="008055D9"/>
    <w:rsid w:val="0080707C"/>
    <w:rsid w:val="00810084"/>
    <w:rsid w:val="00817BAE"/>
    <w:rsid w:val="00821750"/>
    <w:rsid w:val="008248CF"/>
    <w:rsid w:val="00835150"/>
    <w:rsid w:val="0084156E"/>
    <w:rsid w:val="008554E3"/>
    <w:rsid w:val="00860716"/>
    <w:rsid w:val="00860C9D"/>
    <w:rsid w:val="0086109F"/>
    <w:rsid w:val="00865AE8"/>
    <w:rsid w:val="008679B5"/>
    <w:rsid w:val="0087131E"/>
    <w:rsid w:val="0087220C"/>
    <w:rsid w:val="0087281B"/>
    <w:rsid w:val="00874481"/>
    <w:rsid w:val="0087484D"/>
    <w:rsid w:val="00874F5F"/>
    <w:rsid w:val="00882618"/>
    <w:rsid w:val="00884F48"/>
    <w:rsid w:val="008868D3"/>
    <w:rsid w:val="00892E25"/>
    <w:rsid w:val="00893185"/>
    <w:rsid w:val="00895408"/>
    <w:rsid w:val="0089606C"/>
    <w:rsid w:val="00897F1C"/>
    <w:rsid w:val="008A25A2"/>
    <w:rsid w:val="008B0605"/>
    <w:rsid w:val="008B17CD"/>
    <w:rsid w:val="008B4C73"/>
    <w:rsid w:val="008B5FB1"/>
    <w:rsid w:val="008C1891"/>
    <w:rsid w:val="008C3A65"/>
    <w:rsid w:val="008C4D74"/>
    <w:rsid w:val="008D151E"/>
    <w:rsid w:val="008D76AB"/>
    <w:rsid w:val="008E0BDE"/>
    <w:rsid w:val="008E21FB"/>
    <w:rsid w:val="008E2E09"/>
    <w:rsid w:val="008E4BED"/>
    <w:rsid w:val="008E4D1B"/>
    <w:rsid w:val="008F172C"/>
    <w:rsid w:val="008F67FC"/>
    <w:rsid w:val="008F73F5"/>
    <w:rsid w:val="0090032C"/>
    <w:rsid w:val="00903761"/>
    <w:rsid w:val="00903BEE"/>
    <w:rsid w:val="00904CBA"/>
    <w:rsid w:val="00917929"/>
    <w:rsid w:val="009258AE"/>
    <w:rsid w:val="00930EA1"/>
    <w:rsid w:val="00931F22"/>
    <w:rsid w:val="00945B27"/>
    <w:rsid w:val="00953118"/>
    <w:rsid w:val="009575AA"/>
    <w:rsid w:val="00957893"/>
    <w:rsid w:val="009579C9"/>
    <w:rsid w:val="0096304A"/>
    <w:rsid w:val="0097330C"/>
    <w:rsid w:val="009735AA"/>
    <w:rsid w:val="00973FAD"/>
    <w:rsid w:val="00975A01"/>
    <w:rsid w:val="0097742A"/>
    <w:rsid w:val="00980AE5"/>
    <w:rsid w:val="0098152A"/>
    <w:rsid w:val="00983844"/>
    <w:rsid w:val="0099300C"/>
    <w:rsid w:val="009A0A24"/>
    <w:rsid w:val="009A1769"/>
    <w:rsid w:val="009A17CB"/>
    <w:rsid w:val="009A6B4F"/>
    <w:rsid w:val="009A6C6C"/>
    <w:rsid w:val="009B09C2"/>
    <w:rsid w:val="009B197E"/>
    <w:rsid w:val="009C357B"/>
    <w:rsid w:val="009C5DBE"/>
    <w:rsid w:val="009D1721"/>
    <w:rsid w:val="009D3323"/>
    <w:rsid w:val="009D39AD"/>
    <w:rsid w:val="009E06BF"/>
    <w:rsid w:val="009F53DF"/>
    <w:rsid w:val="00A01BDF"/>
    <w:rsid w:val="00A02CC4"/>
    <w:rsid w:val="00A02D28"/>
    <w:rsid w:val="00A03AFE"/>
    <w:rsid w:val="00A05554"/>
    <w:rsid w:val="00A05A44"/>
    <w:rsid w:val="00A05ABB"/>
    <w:rsid w:val="00A067EF"/>
    <w:rsid w:val="00A068D6"/>
    <w:rsid w:val="00A069C4"/>
    <w:rsid w:val="00A10177"/>
    <w:rsid w:val="00A12516"/>
    <w:rsid w:val="00A131C3"/>
    <w:rsid w:val="00A13418"/>
    <w:rsid w:val="00A17F0B"/>
    <w:rsid w:val="00A23B46"/>
    <w:rsid w:val="00A2446F"/>
    <w:rsid w:val="00A2506F"/>
    <w:rsid w:val="00A316C4"/>
    <w:rsid w:val="00A32F5B"/>
    <w:rsid w:val="00A3355D"/>
    <w:rsid w:val="00A33A5C"/>
    <w:rsid w:val="00A34339"/>
    <w:rsid w:val="00A37867"/>
    <w:rsid w:val="00A469C6"/>
    <w:rsid w:val="00A470DF"/>
    <w:rsid w:val="00A5698B"/>
    <w:rsid w:val="00A6412F"/>
    <w:rsid w:val="00A65A6F"/>
    <w:rsid w:val="00A66EB2"/>
    <w:rsid w:val="00A67B6F"/>
    <w:rsid w:val="00A67C8C"/>
    <w:rsid w:val="00A71398"/>
    <w:rsid w:val="00A77322"/>
    <w:rsid w:val="00A857D7"/>
    <w:rsid w:val="00A90683"/>
    <w:rsid w:val="00A9107D"/>
    <w:rsid w:val="00A9182C"/>
    <w:rsid w:val="00A9572F"/>
    <w:rsid w:val="00A97F48"/>
    <w:rsid w:val="00AA26E8"/>
    <w:rsid w:val="00AA2C4C"/>
    <w:rsid w:val="00AA4965"/>
    <w:rsid w:val="00AA6433"/>
    <w:rsid w:val="00AB5342"/>
    <w:rsid w:val="00AB69EB"/>
    <w:rsid w:val="00AB6ACA"/>
    <w:rsid w:val="00AC0DB3"/>
    <w:rsid w:val="00AC2F20"/>
    <w:rsid w:val="00AC3A24"/>
    <w:rsid w:val="00AD185F"/>
    <w:rsid w:val="00AD34F9"/>
    <w:rsid w:val="00AD3826"/>
    <w:rsid w:val="00AD538C"/>
    <w:rsid w:val="00AD570E"/>
    <w:rsid w:val="00AD578E"/>
    <w:rsid w:val="00AD76D5"/>
    <w:rsid w:val="00AF002A"/>
    <w:rsid w:val="00AF7018"/>
    <w:rsid w:val="00B00A3F"/>
    <w:rsid w:val="00B05AF5"/>
    <w:rsid w:val="00B05E86"/>
    <w:rsid w:val="00B07825"/>
    <w:rsid w:val="00B1067B"/>
    <w:rsid w:val="00B1209E"/>
    <w:rsid w:val="00B144F0"/>
    <w:rsid w:val="00B16CF9"/>
    <w:rsid w:val="00B220D7"/>
    <w:rsid w:val="00B22DAF"/>
    <w:rsid w:val="00B23A37"/>
    <w:rsid w:val="00B2534A"/>
    <w:rsid w:val="00B26769"/>
    <w:rsid w:val="00B30F3A"/>
    <w:rsid w:val="00B35148"/>
    <w:rsid w:val="00B37121"/>
    <w:rsid w:val="00B42EC1"/>
    <w:rsid w:val="00B44695"/>
    <w:rsid w:val="00B46606"/>
    <w:rsid w:val="00B50953"/>
    <w:rsid w:val="00B60160"/>
    <w:rsid w:val="00B6467B"/>
    <w:rsid w:val="00B72E5D"/>
    <w:rsid w:val="00B75EA7"/>
    <w:rsid w:val="00B761F5"/>
    <w:rsid w:val="00B76698"/>
    <w:rsid w:val="00B81D89"/>
    <w:rsid w:val="00B84743"/>
    <w:rsid w:val="00B85E6E"/>
    <w:rsid w:val="00B94648"/>
    <w:rsid w:val="00BA0415"/>
    <w:rsid w:val="00BA281D"/>
    <w:rsid w:val="00BA3277"/>
    <w:rsid w:val="00BA3400"/>
    <w:rsid w:val="00BA4EFB"/>
    <w:rsid w:val="00BB1512"/>
    <w:rsid w:val="00BB4547"/>
    <w:rsid w:val="00BB7091"/>
    <w:rsid w:val="00BC19C3"/>
    <w:rsid w:val="00BC2152"/>
    <w:rsid w:val="00BC7EE8"/>
    <w:rsid w:val="00BD4603"/>
    <w:rsid w:val="00BD7F2E"/>
    <w:rsid w:val="00BE36F3"/>
    <w:rsid w:val="00BE7B9A"/>
    <w:rsid w:val="00BF5124"/>
    <w:rsid w:val="00C06F7F"/>
    <w:rsid w:val="00C0781D"/>
    <w:rsid w:val="00C12216"/>
    <w:rsid w:val="00C13406"/>
    <w:rsid w:val="00C141D3"/>
    <w:rsid w:val="00C14F48"/>
    <w:rsid w:val="00C21868"/>
    <w:rsid w:val="00C24FA1"/>
    <w:rsid w:val="00C26865"/>
    <w:rsid w:val="00C27C93"/>
    <w:rsid w:val="00C35C81"/>
    <w:rsid w:val="00C374FE"/>
    <w:rsid w:val="00C402DA"/>
    <w:rsid w:val="00C4211C"/>
    <w:rsid w:val="00C45B0D"/>
    <w:rsid w:val="00C56D8C"/>
    <w:rsid w:val="00C6375E"/>
    <w:rsid w:val="00C650ED"/>
    <w:rsid w:val="00C67056"/>
    <w:rsid w:val="00C672C8"/>
    <w:rsid w:val="00C6780C"/>
    <w:rsid w:val="00C74BC8"/>
    <w:rsid w:val="00C75A42"/>
    <w:rsid w:val="00C77FAE"/>
    <w:rsid w:val="00C814D1"/>
    <w:rsid w:val="00C8567B"/>
    <w:rsid w:val="00C90067"/>
    <w:rsid w:val="00C94DA4"/>
    <w:rsid w:val="00C9616E"/>
    <w:rsid w:val="00CA2A89"/>
    <w:rsid w:val="00CA6CA9"/>
    <w:rsid w:val="00CB0E85"/>
    <w:rsid w:val="00CB1BD6"/>
    <w:rsid w:val="00CC7259"/>
    <w:rsid w:val="00CC742A"/>
    <w:rsid w:val="00CC7668"/>
    <w:rsid w:val="00CD0C67"/>
    <w:rsid w:val="00CD0C9F"/>
    <w:rsid w:val="00CD47A8"/>
    <w:rsid w:val="00CE5466"/>
    <w:rsid w:val="00CF23D5"/>
    <w:rsid w:val="00CF2C85"/>
    <w:rsid w:val="00CF4339"/>
    <w:rsid w:val="00CF5761"/>
    <w:rsid w:val="00D03C94"/>
    <w:rsid w:val="00D049C3"/>
    <w:rsid w:val="00D210CB"/>
    <w:rsid w:val="00D258BC"/>
    <w:rsid w:val="00D27746"/>
    <w:rsid w:val="00D32D81"/>
    <w:rsid w:val="00D355FC"/>
    <w:rsid w:val="00D36894"/>
    <w:rsid w:val="00D42706"/>
    <w:rsid w:val="00D51B6E"/>
    <w:rsid w:val="00D54BED"/>
    <w:rsid w:val="00D56441"/>
    <w:rsid w:val="00D56693"/>
    <w:rsid w:val="00D60A69"/>
    <w:rsid w:val="00D62299"/>
    <w:rsid w:val="00D65ECC"/>
    <w:rsid w:val="00D6744E"/>
    <w:rsid w:val="00D80D49"/>
    <w:rsid w:val="00D9308E"/>
    <w:rsid w:val="00D977FC"/>
    <w:rsid w:val="00DA0FBC"/>
    <w:rsid w:val="00DA72E6"/>
    <w:rsid w:val="00DA75BB"/>
    <w:rsid w:val="00DB52D6"/>
    <w:rsid w:val="00DB6132"/>
    <w:rsid w:val="00DB72E9"/>
    <w:rsid w:val="00DD0ED4"/>
    <w:rsid w:val="00DD1AC5"/>
    <w:rsid w:val="00DD41DC"/>
    <w:rsid w:val="00DE2046"/>
    <w:rsid w:val="00DE5F2A"/>
    <w:rsid w:val="00DE671B"/>
    <w:rsid w:val="00DF2C17"/>
    <w:rsid w:val="00E12025"/>
    <w:rsid w:val="00E21FFD"/>
    <w:rsid w:val="00E24115"/>
    <w:rsid w:val="00E24934"/>
    <w:rsid w:val="00E26BFE"/>
    <w:rsid w:val="00E27D1E"/>
    <w:rsid w:val="00E3698E"/>
    <w:rsid w:val="00E37B3F"/>
    <w:rsid w:val="00E43D58"/>
    <w:rsid w:val="00E44680"/>
    <w:rsid w:val="00E5127B"/>
    <w:rsid w:val="00E5383B"/>
    <w:rsid w:val="00E54E6E"/>
    <w:rsid w:val="00E6060D"/>
    <w:rsid w:val="00E62786"/>
    <w:rsid w:val="00E62AED"/>
    <w:rsid w:val="00E645D2"/>
    <w:rsid w:val="00E6602E"/>
    <w:rsid w:val="00E66E33"/>
    <w:rsid w:val="00E675B3"/>
    <w:rsid w:val="00E723C4"/>
    <w:rsid w:val="00E73A4D"/>
    <w:rsid w:val="00E74815"/>
    <w:rsid w:val="00E750C2"/>
    <w:rsid w:val="00E81B1F"/>
    <w:rsid w:val="00E84BB4"/>
    <w:rsid w:val="00E9771E"/>
    <w:rsid w:val="00EA5B7D"/>
    <w:rsid w:val="00EA710A"/>
    <w:rsid w:val="00EC1E4F"/>
    <w:rsid w:val="00EC251A"/>
    <w:rsid w:val="00ED3869"/>
    <w:rsid w:val="00ED5D30"/>
    <w:rsid w:val="00ED7F7F"/>
    <w:rsid w:val="00EE0EB8"/>
    <w:rsid w:val="00EE484F"/>
    <w:rsid w:val="00EE54F8"/>
    <w:rsid w:val="00EE5C78"/>
    <w:rsid w:val="00EF14F4"/>
    <w:rsid w:val="00EF3D21"/>
    <w:rsid w:val="00F01F06"/>
    <w:rsid w:val="00F0424D"/>
    <w:rsid w:val="00F046FB"/>
    <w:rsid w:val="00F14C37"/>
    <w:rsid w:val="00F15AE8"/>
    <w:rsid w:val="00F15FDB"/>
    <w:rsid w:val="00F229E3"/>
    <w:rsid w:val="00F22BEA"/>
    <w:rsid w:val="00F23F64"/>
    <w:rsid w:val="00F325D4"/>
    <w:rsid w:val="00F360D3"/>
    <w:rsid w:val="00F3695F"/>
    <w:rsid w:val="00F372DD"/>
    <w:rsid w:val="00F40B97"/>
    <w:rsid w:val="00F42C5E"/>
    <w:rsid w:val="00F45500"/>
    <w:rsid w:val="00F47EA7"/>
    <w:rsid w:val="00F50772"/>
    <w:rsid w:val="00F56897"/>
    <w:rsid w:val="00F622D3"/>
    <w:rsid w:val="00F62CA9"/>
    <w:rsid w:val="00F63124"/>
    <w:rsid w:val="00F7011E"/>
    <w:rsid w:val="00F71867"/>
    <w:rsid w:val="00F756E7"/>
    <w:rsid w:val="00F77528"/>
    <w:rsid w:val="00F77E9B"/>
    <w:rsid w:val="00F814A7"/>
    <w:rsid w:val="00F8164A"/>
    <w:rsid w:val="00F83B1F"/>
    <w:rsid w:val="00F91046"/>
    <w:rsid w:val="00F92C79"/>
    <w:rsid w:val="00F93444"/>
    <w:rsid w:val="00FA498C"/>
    <w:rsid w:val="00FA5D1C"/>
    <w:rsid w:val="00FA6A16"/>
    <w:rsid w:val="00FB2424"/>
    <w:rsid w:val="00FC4B6D"/>
    <w:rsid w:val="00FC6013"/>
    <w:rsid w:val="00FD05D2"/>
    <w:rsid w:val="00FD39EF"/>
    <w:rsid w:val="00FD43B3"/>
    <w:rsid w:val="00FF2DDE"/>
    <w:rsid w:val="00FF4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BB4"/>
    <w:rPr>
      <w:rFonts w:ascii="Tahoma" w:hAnsi="Tahoma" w:cs="Tahoma"/>
      <w:sz w:val="16"/>
      <w:szCs w:val="16"/>
    </w:rPr>
  </w:style>
  <w:style w:type="paragraph" w:styleId="Header">
    <w:name w:val="header"/>
    <w:basedOn w:val="Normal"/>
    <w:link w:val="HeaderChar"/>
    <w:uiPriority w:val="99"/>
    <w:unhideWhenUsed/>
    <w:rsid w:val="00561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DB6"/>
  </w:style>
  <w:style w:type="paragraph" w:styleId="Footer">
    <w:name w:val="footer"/>
    <w:basedOn w:val="Normal"/>
    <w:link w:val="FooterChar"/>
    <w:uiPriority w:val="99"/>
    <w:unhideWhenUsed/>
    <w:rsid w:val="00561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D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BB4"/>
    <w:rPr>
      <w:rFonts w:ascii="Tahoma" w:hAnsi="Tahoma" w:cs="Tahoma"/>
      <w:sz w:val="16"/>
      <w:szCs w:val="16"/>
    </w:rPr>
  </w:style>
  <w:style w:type="paragraph" w:styleId="Header">
    <w:name w:val="header"/>
    <w:basedOn w:val="Normal"/>
    <w:link w:val="HeaderChar"/>
    <w:uiPriority w:val="99"/>
    <w:unhideWhenUsed/>
    <w:rsid w:val="00561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DB6"/>
  </w:style>
  <w:style w:type="paragraph" w:styleId="Footer">
    <w:name w:val="footer"/>
    <w:basedOn w:val="Normal"/>
    <w:link w:val="FooterChar"/>
    <w:uiPriority w:val="99"/>
    <w:unhideWhenUsed/>
    <w:rsid w:val="00561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600"/>
              <a:t>Before starting my acupuncture treatment,</a:t>
            </a:r>
            <a:r>
              <a:rPr lang="en-GB" sz="1600" baseline="0"/>
              <a:t> I was</a:t>
            </a:r>
            <a:endParaRPr lang="en-GB" sz="1600"/>
          </a:p>
        </c:rich>
      </c:tx>
      <c:layout>
        <c:manualLayout>
          <c:xMode val="edge"/>
          <c:yMode val="edge"/>
          <c:x val="0.11045962277971068"/>
          <c:y val="7.6081799316581756E-3"/>
        </c:manualLayout>
      </c:layout>
      <c:overlay val="0"/>
    </c:title>
    <c:autoTitleDeleted val="0"/>
    <c:plotArea>
      <c:layout>
        <c:manualLayout>
          <c:layoutTarget val="inner"/>
          <c:xMode val="edge"/>
          <c:yMode val="edge"/>
          <c:x val="2.4363233665559248E-2"/>
          <c:y val="0.14205989078806328"/>
          <c:w val="0.8057481186944655"/>
          <c:h val="0.56190931768404617"/>
        </c:manualLayout>
      </c:layout>
      <c:barChart>
        <c:barDir val="col"/>
        <c:grouping val="clustered"/>
        <c:varyColors val="0"/>
        <c:ser>
          <c:idx val="0"/>
          <c:order val="0"/>
          <c:tx>
            <c:strRef>
              <c:f>'Final analysis Feb15'!$E$7</c:f>
              <c:strCache>
                <c:ptCount val="1"/>
                <c:pt idx="0">
                  <c:v>Agree</c:v>
                </c:pt>
              </c:strCache>
            </c:strRef>
          </c:tx>
          <c:spPr>
            <a:solidFill>
              <a:srgbClr val="008000"/>
            </a:solidFill>
          </c:spPr>
          <c:invertIfNegative val="0"/>
          <c:dLbls>
            <c:txPr>
              <a:bodyPr/>
              <a:lstStyle/>
              <a:p>
                <a:pPr>
                  <a:defRPr sz="1200"/>
                </a:pPr>
                <a:endParaRPr lang="en-US"/>
              </a:p>
            </c:txPr>
            <c:showLegendKey val="0"/>
            <c:showVal val="1"/>
            <c:showCatName val="0"/>
            <c:showSerName val="0"/>
            <c:showPercent val="0"/>
            <c:showBubbleSize val="0"/>
            <c:showLeaderLines val="0"/>
          </c:dLbls>
          <c:cat>
            <c:strRef>
              <c:f>'Final analysis Feb15'!$A$8:$D$12</c:f>
              <c:strCache>
                <c:ptCount val="5"/>
                <c:pt idx="0">
                  <c:v>Given the opportunity to discuss treatment options</c:v>
                </c:pt>
                <c:pt idx="1">
                  <c:v>Given enough time to discuss my treatment with the GP</c:v>
                </c:pt>
                <c:pt idx="2">
                  <c:v>Given enough information </c:v>
                </c:pt>
                <c:pt idx="3">
                  <c:v>Offered a choice of treatment </c:v>
                </c:pt>
                <c:pt idx="4">
                  <c:v>Involved in decisions about my care</c:v>
                </c:pt>
              </c:strCache>
            </c:strRef>
          </c:cat>
          <c:val>
            <c:numRef>
              <c:f>'Final analysis Feb15'!$E$8:$E$12</c:f>
              <c:numCache>
                <c:formatCode>0%</c:formatCode>
                <c:ptCount val="5"/>
                <c:pt idx="0">
                  <c:v>0.78</c:v>
                </c:pt>
                <c:pt idx="1">
                  <c:v>0.83</c:v>
                </c:pt>
                <c:pt idx="2">
                  <c:v>0.78</c:v>
                </c:pt>
                <c:pt idx="3">
                  <c:v>0.59</c:v>
                </c:pt>
                <c:pt idx="4">
                  <c:v>0.78</c:v>
                </c:pt>
              </c:numCache>
            </c:numRef>
          </c:val>
        </c:ser>
        <c:ser>
          <c:idx val="1"/>
          <c:order val="1"/>
          <c:tx>
            <c:strRef>
              <c:f>'Final analysis Feb15'!$F$7</c:f>
              <c:strCache>
                <c:ptCount val="1"/>
                <c:pt idx="0">
                  <c:v>Disagree</c:v>
                </c:pt>
              </c:strCache>
            </c:strRef>
          </c:tx>
          <c:spPr>
            <a:solidFill>
              <a:srgbClr val="FF0000"/>
            </a:solidFill>
          </c:spPr>
          <c:invertIfNegative val="0"/>
          <c:dLbls>
            <c:dLbl>
              <c:idx val="0"/>
              <c:layout>
                <c:manualLayout>
                  <c:x val="1.9933554817275746E-2"/>
                  <c:y val="0"/>
                </c:manualLayout>
              </c:layout>
              <c:showLegendKey val="0"/>
              <c:showVal val="1"/>
              <c:showCatName val="0"/>
              <c:showSerName val="0"/>
              <c:showPercent val="0"/>
              <c:showBubbleSize val="0"/>
            </c:dLbl>
            <c:dLbl>
              <c:idx val="1"/>
              <c:layout>
                <c:manualLayout>
                  <c:x val="8.8593576965669985E-3"/>
                  <c:y val="-8.1177080450322604E-3"/>
                </c:manualLayout>
              </c:layout>
              <c:showLegendKey val="0"/>
              <c:showVal val="1"/>
              <c:showCatName val="0"/>
              <c:showSerName val="0"/>
              <c:showPercent val="0"/>
              <c:showBubbleSize val="0"/>
            </c:dLbl>
            <c:dLbl>
              <c:idx val="2"/>
              <c:layout>
                <c:manualLayout>
                  <c:x val="8.8593576965669985E-3"/>
                  <c:y val="0"/>
                </c:manualLayout>
              </c:layout>
              <c:showLegendKey val="0"/>
              <c:showVal val="1"/>
              <c:showCatName val="0"/>
              <c:showSerName val="0"/>
              <c:showPercent val="0"/>
              <c:showBubbleSize val="0"/>
            </c:dLbl>
            <c:dLbl>
              <c:idx val="3"/>
              <c:layout>
                <c:manualLayout>
                  <c:x val="1.3289036544850499E-2"/>
                  <c:y val="0"/>
                </c:manualLayout>
              </c:layout>
              <c:showLegendKey val="0"/>
              <c:showVal val="1"/>
              <c:showCatName val="0"/>
              <c:showSerName val="0"/>
              <c:showPercent val="0"/>
              <c:showBubbleSize val="0"/>
            </c:dLbl>
            <c:dLbl>
              <c:idx val="4"/>
              <c:layout>
                <c:manualLayout>
                  <c:x val="6.6445182724252493E-3"/>
                  <c:y val="4.0588540225160929E-3"/>
                </c:manualLayout>
              </c:layout>
              <c:showLegendKey val="0"/>
              <c:showVal val="1"/>
              <c:showCatName val="0"/>
              <c:showSerName val="0"/>
              <c:showPercent val="0"/>
              <c:showBubbleSize val="0"/>
            </c:dLbl>
            <c:txPr>
              <a:bodyPr/>
              <a:lstStyle/>
              <a:p>
                <a:pPr>
                  <a:defRPr sz="1200"/>
                </a:pPr>
                <a:endParaRPr lang="en-US"/>
              </a:p>
            </c:txPr>
            <c:showLegendKey val="0"/>
            <c:showVal val="1"/>
            <c:showCatName val="0"/>
            <c:showSerName val="0"/>
            <c:showPercent val="0"/>
            <c:showBubbleSize val="0"/>
            <c:showLeaderLines val="0"/>
          </c:dLbls>
          <c:cat>
            <c:strRef>
              <c:f>'Final analysis Feb15'!$A$8:$D$12</c:f>
              <c:strCache>
                <c:ptCount val="5"/>
                <c:pt idx="0">
                  <c:v>Given the opportunity to discuss treatment options</c:v>
                </c:pt>
                <c:pt idx="1">
                  <c:v>Given enough time to discuss my treatment with the GP</c:v>
                </c:pt>
                <c:pt idx="2">
                  <c:v>Given enough information </c:v>
                </c:pt>
                <c:pt idx="3">
                  <c:v>Offered a choice of treatment </c:v>
                </c:pt>
                <c:pt idx="4">
                  <c:v>Involved in decisions about my care</c:v>
                </c:pt>
              </c:strCache>
            </c:strRef>
          </c:cat>
          <c:val>
            <c:numRef>
              <c:f>'Final analysis Feb15'!$F$8:$F$12</c:f>
              <c:numCache>
                <c:formatCode>0%</c:formatCode>
                <c:ptCount val="5"/>
                <c:pt idx="0">
                  <c:v>0.17</c:v>
                </c:pt>
                <c:pt idx="1">
                  <c:v>0.13</c:v>
                </c:pt>
                <c:pt idx="2">
                  <c:v>0.21</c:v>
                </c:pt>
                <c:pt idx="3">
                  <c:v>0.36</c:v>
                </c:pt>
                <c:pt idx="4">
                  <c:v>0.09</c:v>
                </c:pt>
              </c:numCache>
            </c:numRef>
          </c:val>
        </c:ser>
        <c:ser>
          <c:idx val="2"/>
          <c:order val="2"/>
          <c:tx>
            <c:strRef>
              <c:f>'Final analysis Feb15'!$G$7</c:f>
              <c:strCache>
                <c:ptCount val="1"/>
                <c:pt idx="0">
                  <c:v>Don't know</c:v>
                </c:pt>
              </c:strCache>
            </c:strRef>
          </c:tx>
          <c:spPr>
            <a:solidFill>
              <a:srgbClr val="3756F1"/>
            </a:solidFill>
            <a:ln>
              <a:solidFill>
                <a:schemeClr val="tx1"/>
              </a:solidFill>
            </a:ln>
          </c:spPr>
          <c:invertIfNegative val="0"/>
          <c:dLbls>
            <c:dLbl>
              <c:idx val="1"/>
              <c:layout>
                <c:manualLayout>
                  <c:x val="1.3289036544850539E-2"/>
                  <c:y val="8.1177080450321858E-3"/>
                </c:manualLayout>
              </c:layout>
              <c:showLegendKey val="0"/>
              <c:showVal val="1"/>
              <c:showCatName val="0"/>
              <c:showSerName val="0"/>
              <c:showPercent val="0"/>
              <c:showBubbleSize val="0"/>
            </c:dLbl>
            <c:dLbl>
              <c:idx val="4"/>
              <c:layout>
                <c:manualLayout>
                  <c:x val="1.5503875968992248E-2"/>
                  <c:y val="0"/>
                </c:manualLayout>
              </c:layout>
              <c:showLegendKey val="0"/>
              <c:showVal val="1"/>
              <c:showCatName val="0"/>
              <c:showSerName val="0"/>
              <c:showPercent val="0"/>
              <c:showBubbleSize val="0"/>
            </c:dLbl>
            <c:txPr>
              <a:bodyPr/>
              <a:lstStyle/>
              <a:p>
                <a:pPr>
                  <a:defRPr sz="1200"/>
                </a:pPr>
                <a:endParaRPr lang="en-US"/>
              </a:p>
            </c:txPr>
            <c:showLegendKey val="0"/>
            <c:showVal val="1"/>
            <c:showCatName val="0"/>
            <c:showSerName val="0"/>
            <c:showPercent val="0"/>
            <c:showBubbleSize val="0"/>
            <c:showLeaderLines val="0"/>
          </c:dLbls>
          <c:cat>
            <c:strRef>
              <c:f>'Final analysis Feb15'!$A$8:$D$12</c:f>
              <c:strCache>
                <c:ptCount val="5"/>
                <c:pt idx="0">
                  <c:v>Given the opportunity to discuss treatment options</c:v>
                </c:pt>
                <c:pt idx="1">
                  <c:v>Given enough time to discuss my treatment with the GP</c:v>
                </c:pt>
                <c:pt idx="2">
                  <c:v>Given enough information </c:v>
                </c:pt>
                <c:pt idx="3">
                  <c:v>Offered a choice of treatment </c:v>
                </c:pt>
                <c:pt idx="4">
                  <c:v>Involved in decisions about my care</c:v>
                </c:pt>
              </c:strCache>
            </c:strRef>
          </c:cat>
          <c:val>
            <c:numRef>
              <c:f>'Final analysis Feb15'!$G$8:$G$12</c:f>
              <c:numCache>
                <c:formatCode>0%</c:formatCode>
                <c:ptCount val="5"/>
                <c:pt idx="0">
                  <c:v>0.04</c:v>
                </c:pt>
                <c:pt idx="1">
                  <c:v>0.04</c:v>
                </c:pt>
                <c:pt idx="3">
                  <c:v>0.05</c:v>
                </c:pt>
                <c:pt idx="4">
                  <c:v>0.13</c:v>
                </c:pt>
              </c:numCache>
            </c:numRef>
          </c:val>
        </c:ser>
        <c:dLbls>
          <c:showLegendKey val="0"/>
          <c:showVal val="0"/>
          <c:showCatName val="0"/>
          <c:showSerName val="0"/>
          <c:showPercent val="0"/>
          <c:showBubbleSize val="0"/>
        </c:dLbls>
        <c:gapWidth val="150"/>
        <c:axId val="201401472"/>
        <c:axId val="211099008"/>
      </c:barChart>
      <c:catAx>
        <c:axId val="201401472"/>
        <c:scaling>
          <c:orientation val="minMax"/>
        </c:scaling>
        <c:delete val="0"/>
        <c:axPos val="b"/>
        <c:majorTickMark val="out"/>
        <c:minorTickMark val="none"/>
        <c:tickLblPos val="nextTo"/>
        <c:txPr>
          <a:bodyPr/>
          <a:lstStyle/>
          <a:p>
            <a:pPr>
              <a:defRPr sz="1100"/>
            </a:pPr>
            <a:endParaRPr lang="en-US"/>
          </a:p>
        </c:txPr>
        <c:crossAx val="211099008"/>
        <c:crosses val="autoZero"/>
        <c:auto val="1"/>
        <c:lblAlgn val="ctr"/>
        <c:lblOffset val="100"/>
        <c:noMultiLvlLbl val="0"/>
      </c:catAx>
      <c:valAx>
        <c:axId val="211099008"/>
        <c:scaling>
          <c:orientation val="minMax"/>
        </c:scaling>
        <c:delete val="0"/>
        <c:axPos val="l"/>
        <c:majorGridlines>
          <c:spPr>
            <a:ln>
              <a:noFill/>
            </a:ln>
          </c:spPr>
        </c:majorGridlines>
        <c:numFmt formatCode="0%" sourceLinked="1"/>
        <c:majorTickMark val="none"/>
        <c:minorTickMark val="none"/>
        <c:tickLblPos val="none"/>
        <c:spPr>
          <a:noFill/>
          <a:ln>
            <a:noFill/>
          </a:ln>
        </c:spPr>
        <c:crossAx val="201401472"/>
        <c:crosses val="autoZero"/>
        <c:crossBetween val="between"/>
      </c:valAx>
      <c:spPr>
        <a:noFill/>
        <a:ln>
          <a:noFill/>
        </a:ln>
      </c:spPr>
    </c:plotArea>
    <c:legend>
      <c:legendPos val="r"/>
      <c:layout>
        <c:manualLayout>
          <c:xMode val="edge"/>
          <c:yMode val="edge"/>
          <c:x val="0.82002162520382627"/>
          <c:y val="0.20040754683523679"/>
          <c:w val="0.1666893382513232"/>
          <c:h val="0.23399197007529102"/>
        </c:manualLayout>
      </c:layout>
      <c:overlay val="0"/>
      <c:spPr>
        <a:ln w="15875" cmpd="sng">
          <a:solidFill>
            <a:schemeClr val="tx1"/>
          </a:solidFill>
          <a:prstDash val="solid"/>
        </a:ln>
      </c:spPr>
      <c:txPr>
        <a:bodyPr/>
        <a:lstStyle/>
        <a:p>
          <a:pPr>
            <a:defRPr sz="12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Since beginning my acupuncture treatment….</a:t>
            </a:r>
          </a:p>
        </c:rich>
      </c:tx>
      <c:layout/>
      <c:overlay val="0"/>
    </c:title>
    <c:autoTitleDeleted val="0"/>
    <c:plotArea>
      <c:layout>
        <c:manualLayout>
          <c:layoutTarget val="inner"/>
          <c:xMode val="edge"/>
          <c:yMode val="edge"/>
          <c:x val="2.4567280848687884E-2"/>
          <c:y val="0.16454377026401112"/>
          <c:w val="0.81739460799245223"/>
          <c:h val="0.56989933611239774"/>
        </c:manualLayout>
      </c:layout>
      <c:barChart>
        <c:barDir val="col"/>
        <c:grouping val="clustered"/>
        <c:varyColors val="0"/>
        <c:ser>
          <c:idx val="0"/>
          <c:order val="0"/>
          <c:tx>
            <c:strRef>
              <c:f>'Final analysis Feb15'!$G$24</c:f>
              <c:strCache>
                <c:ptCount val="1"/>
                <c:pt idx="0">
                  <c:v>Agree</c:v>
                </c:pt>
              </c:strCache>
            </c:strRef>
          </c:tx>
          <c:spPr>
            <a:solidFill>
              <a:srgbClr val="008000"/>
            </a:solidFill>
          </c:spPr>
          <c:invertIfNegative val="0"/>
          <c:dLbls>
            <c:txPr>
              <a:bodyPr/>
              <a:lstStyle/>
              <a:p>
                <a:pPr>
                  <a:defRPr sz="1200"/>
                </a:pPr>
                <a:endParaRPr lang="en-US"/>
              </a:p>
            </c:txPr>
            <c:showLegendKey val="0"/>
            <c:showVal val="1"/>
            <c:showCatName val="0"/>
            <c:showSerName val="0"/>
            <c:showPercent val="0"/>
            <c:showBubbleSize val="0"/>
            <c:showLeaderLines val="0"/>
          </c:dLbls>
          <c:cat>
            <c:strRef>
              <c:f>'Final analysis Feb15'!$A$25:$F$28</c:f>
              <c:strCache>
                <c:ptCount val="4"/>
                <c:pt idx="0">
                  <c:v>I have been able to reduce prescribed medication </c:v>
                </c:pt>
                <c:pt idx="1">
                  <c:v>I have been able to reduce non-prescribed medication </c:v>
                </c:pt>
                <c:pt idx="2">
                  <c:v>My mobility has improved</c:v>
                </c:pt>
                <c:pt idx="3">
                  <c:v>Overall, I am in less pain </c:v>
                </c:pt>
              </c:strCache>
            </c:strRef>
          </c:cat>
          <c:val>
            <c:numRef>
              <c:f>'Final analysis Feb15'!$G$25:$G$28</c:f>
              <c:numCache>
                <c:formatCode>0%</c:formatCode>
                <c:ptCount val="4"/>
                <c:pt idx="0">
                  <c:v>0.57999999999999996</c:v>
                </c:pt>
                <c:pt idx="1">
                  <c:v>0.6</c:v>
                </c:pt>
                <c:pt idx="2">
                  <c:v>0.65</c:v>
                </c:pt>
                <c:pt idx="3">
                  <c:v>0.83</c:v>
                </c:pt>
              </c:numCache>
            </c:numRef>
          </c:val>
        </c:ser>
        <c:ser>
          <c:idx val="1"/>
          <c:order val="1"/>
          <c:tx>
            <c:strRef>
              <c:f>'Final analysis Feb15'!$H$24</c:f>
              <c:strCache>
                <c:ptCount val="1"/>
                <c:pt idx="0">
                  <c:v>Disagree</c:v>
                </c:pt>
              </c:strCache>
            </c:strRef>
          </c:tx>
          <c:spPr>
            <a:solidFill>
              <a:srgbClr val="FF0000"/>
            </a:solidFill>
          </c:spPr>
          <c:invertIfNegative val="0"/>
          <c:dLbls>
            <c:dLbl>
              <c:idx val="0"/>
              <c:layout>
                <c:manualLayout>
                  <c:x val="1.6666666666666653E-2"/>
                  <c:y val="4.2437781360066642E-17"/>
                </c:manualLayout>
              </c:layout>
              <c:showLegendKey val="0"/>
              <c:showVal val="1"/>
              <c:showCatName val="0"/>
              <c:showSerName val="0"/>
              <c:showPercent val="0"/>
              <c:showBubbleSize val="0"/>
            </c:dLbl>
            <c:dLbl>
              <c:idx val="1"/>
              <c:layout>
                <c:manualLayout>
                  <c:x val="2.5000000000000001E-2"/>
                  <c:y val="0"/>
                </c:manualLayout>
              </c:layout>
              <c:showLegendKey val="0"/>
              <c:showVal val="1"/>
              <c:showCatName val="0"/>
              <c:showSerName val="0"/>
              <c:showPercent val="0"/>
              <c:showBubbleSize val="0"/>
            </c:dLbl>
            <c:dLbl>
              <c:idx val="2"/>
              <c:layout>
                <c:manualLayout>
                  <c:x val="1.9444444444444445E-2"/>
                  <c:y val="0"/>
                </c:manualLayout>
              </c:layout>
              <c:showLegendKey val="0"/>
              <c:showVal val="1"/>
              <c:showCatName val="0"/>
              <c:showSerName val="0"/>
              <c:showPercent val="0"/>
              <c:showBubbleSize val="0"/>
            </c:dLbl>
            <c:dLbl>
              <c:idx val="3"/>
              <c:layout>
                <c:manualLayout>
                  <c:x val="8.3333333333333332E-3"/>
                  <c:y val="0"/>
                </c:manualLayout>
              </c:layout>
              <c:showLegendKey val="0"/>
              <c:showVal val="1"/>
              <c:showCatName val="0"/>
              <c:showSerName val="0"/>
              <c:showPercent val="0"/>
              <c:showBubbleSize val="0"/>
            </c:dLbl>
            <c:txPr>
              <a:bodyPr/>
              <a:lstStyle/>
              <a:p>
                <a:pPr>
                  <a:defRPr sz="1200"/>
                </a:pPr>
                <a:endParaRPr lang="en-US"/>
              </a:p>
            </c:txPr>
            <c:showLegendKey val="0"/>
            <c:showVal val="1"/>
            <c:showCatName val="0"/>
            <c:showSerName val="0"/>
            <c:showPercent val="0"/>
            <c:showBubbleSize val="0"/>
            <c:showLeaderLines val="0"/>
          </c:dLbls>
          <c:cat>
            <c:strRef>
              <c:f>'Final analysis Feb15'!$A$25:$F$28</c:f>
              <c:strCache>
                <c:ptCount val="4"/>
                <c:pt idx="0">
                  <c:v>I have been able to reduce prescribed medication </c:v>
                </c:pt>
                <c:pt idx="1">
                  <c:v>I have been able to reduce non-prescribed medication </c:v>
                </c:pt>
                <c:pt idx="2">
                  <c:v>My mobility has improved</c:v>
                </c:pt>
                <c:pt idx="3">
                  <c:v>Overall, I am in less pain </c:v>
                </c:pt>
              </c:strCache>
            </c:strRef>
          </c:cat>
          <c:val>
            <c:numRef>
              <c:f>'Final analysis Feb15'!$H$25:$H$28</c:f>
              <c:numCache>
                <c:formatCode>0%</c:formatCode>
                <c:ptCount val="4"/>
                <c:pt idx="0">
                  <c:v>0.37</c:v>
                </c:pt>
                <c:pt idx="1">
                  <c:v>0.25</c:v>
                </c:pt>
                <c:pt idx="2">
                  <c:v>0.26</c:v>
                </c:pt>
                <c:pt idx="3">
                  <c:v>0.13</c:v>
                </c:pt>
              </c:numCache>
            </c:numRef>
          </c:val>
        </c:ser>
        <c:ser>
          <c:idx val="2"/>
          <c:order val="2"/>
          <c:tx>
            <c:strRef>
              <c:f>'Final analysis Feb15'!$I$24</c:f>
              <c:strCache>
                <c:ptCount val="1"/>
                <c:pt idx="0">
                  <c:v>Don't know</c:v>
                </c:pt>
              </c:strCache>
            </c:strRef>
          </c:tx>
          <c:spPr>
            <a:solidFill>
              <a:srgbClr val="3756F1"/>
            </a:solidFill>
          </c:spPr>
          <c:invertIfNegative val="0"/>
          <c:dLbls>
            <c:dLbl>
              <c:idx val="0"/>
              <c:layout>
                <c:manualLayout>
                  <c:x val="2.5000000000000001E-2"/>
                  <c:y val="0"/>
                </c:manualLayout>
              </c:layout>
              <c:showLegendKey val="0"/>
              <c:showVal val="1"/>
              <c:showCatName val="0"/>
              <c:showSerName val="0"/>
              <c:showPercent val="0"/>
              <c:showBubbleSize val="0"/>
            </c:dLbl>
            <c:dLbl>
              <c:idx val="1"/>
              <c:layout>
                <c:manualLayout>
                  <c:x val="2.2222222222222223E-2"/>
                  <c:y val="0"/>
                </c:manualLayout>
              </c:layout>
              <c:showLegendKey val="0"/>
              <c:showVal val="1"/>
              <c:showCatName val="0"/>
              <c:showSerName val="0"/>
              <c:showPercent val="0"/>
              <c:showBubbleSize val="0"/>
            </c:dLbl>
            <c:dLbl>
              <c:idx val="2"/>
              <c:layout>
                <c:manualLayout>
                  <c:x val="1.1111111111111112E-2"/>
                  <c:y val="0"/>
                </c:manualLayout>
              </c:layout>
              <c:showLegendKey val="0"/>
              <c:showVal val="1"/>
              <c:showCatName val="0"/>
              <c:showSerName val="0"/>
              <c:showPercent val="0"/>
              <c:showBubbleSize val="0"/>
            </c:dLbl>
            <c:dLbl>
              <c:idx val="3"/>
              <c:layout>
                <c:manualLayout>
                  <c:x val="1.1111111111111112E-2"/>
                  <c:y val="4.6296296296296294E-3"/>
                </c:manualLayout>
              </c:layout>
              <c:showLegendKey val="0"/>
              <c:showVal val="1"/>
              <c:showCatName val="0"/>
              <c:showSerName val="0"/>
              <c:showPercent val="0"/>
              <c:showBubbleSize val="0"/>
            </c:dLbl>
            <c:txPr>
              <a:bodyPr/>
              <a:lstStyle/>
              <a:p>
                <a:pPr>
                  <a:defRPr sz="1200"/>
                </a:pPr>
                <a:endParaRPr lang="en-US"/>
              </a:p>
            </c:txPr>
            <c:showLegendKey val="0"/>
            <c:showVal val="1"/>
            <c:showCatName val="0"/>
            <c:showSerName val="0"/>
            <c:showPercent val="0"/>
            <c:showBubbleSize val="0"/>
            <c:showLeaderLines val="0"/>
          </c:dLbls>
          <c:cat>
            <c:strRef>
              <c:f>'Final analysis Feb15'!$A$25:$F$28</c:f>
              <c:strCache>
                <c:ptCount val="4"/>
                <c:pt idx="0">
                  <c:v>I have been able to reduce prescribed medication </c:v>
                </c:pt>
                <c:pt idx="1">
                  <c:v>I have been able to reduce non-prescribed medication </c:v>
                </c:pt>
                <c:pt idx="2">
                  <c:v>My mobility has improved</c:v>
                </c:pt>
                <c:pt idx="3">
                  <c:v>Overall, I am in less pain </c:v>
                </c:pt>
              </c:strCache>
            </c:strRef>
          </c:cat>
          <c:val>
            <c:numRef>
              <c:f>'Final analysis Feb15'!$I$25:$I$28</c:f>
              <c:numCache>
                <c:formatCode>0%</c:formatCode>
                <c:ptCount val="4"/>
                <c:pt idx="0">
                  <c:v>0.05</c:v>
                </c:pt>
                <c:pt idx="1">
                  <c:v>0.15</c:v>
                </c:pt>
                <c:pt idx="2">
                  <c:v>0.09</c:v>
                </c:pt>
                <c:pt idx="3">
                  <c:v>0.04</c:v>
                </c:pt>
              </c:numCache>
            </c:numRef>
          </c:val>
        </c:ser>
        <c:dLbls>
          <c:showLegendKey val="0"/>
          <c:showVal val="0"/>
          <c:showCatName val="0"/>
          <c:showSerName val="0"/>
          <c:showPercent val="0"/>
          <c:showBubbleSize val="0"/>
        </c:dLbls>
        <c:gapWidth val="150"/>
        <c:axId val="213273984"/>
        <c:axId val="215303296"/>
      </c:barChart>
      <c:catAx>
        <c:axId val="213273984"/>
        <c:scaling>
          <c:orientation val="minMax"/>
        </c:scaling>
        <c:delete val="0"/>
        <c:axPos val="b"/>
        <c:majorTickMark val="out"/>
        <c:minorTickMark val="none"/>
        <c:tickLblPos val="nextTo"/>
        <c:txPr>
          <a:bodyPr/>
          <a:lstStyle/>
          <a:p>
            <a:pPr>
              <a:defRPr sz="1200"/>
            </a:pPr>
            <a:endParaRPr lang="en-US"/>
          </a:p>
        </c:txPr>
        <c:crossAx val="215303296"/>
        <c:crosses val="autoZero"/>
        <c:auto val="1"/>
        <c:lblAlgn val="ctr"/>
        <c:lblOffset val="100"/>
        <c:noMultiLvlLbl val="0"/>
      </c:catAx>
      <c:valAx>
        <c:axId val="215303296"/>
        <c:scaling>
          <c:orientation val="minMax"/>
        </c:scaling>
        <c:delete val="1"/>
        <c:axPos val="l"/>
        <c:majorGridlines>
          <c:spPr>
            <a:ln>
              <a:noFill/>
            </a:ln>
          </c:spPr>
        </c:majorGridlines>
        <c:numFmt formatCode="0%" sourceLinked="1"/>
        <c:majorTickMark val="none"/>
        <c:minorTickMark val="none"/>
        <c:tickLblPos val="nextTo"/>
        <c:crossAx val="213273984"/>
        <c:crosses val="autoZero"/>
        <c:crossBetween val="between"/>
      </c:valAx>
    </c:plotArea>
    <c:legend>
      <c:legendPos val="r"/>
      <c:layout>
        <c:manualLayout>
          <c:xMode val="edge"/>
          <c:yMode val="edge"/>
          <c:x val="0.80637576552930879"/>
          <c:y val="0.33275736366287545"/>
          <c:w val="0.1669666915595617"/>
          <c:h val="0.23841329426844901"/>
        </c:manualLayout>
      </c:layout>
      <c:overlay val="0"/>
      <c:spPr>
        <a:ln>
          <a:solidFill>
            <a:schemeClr val="tx1"/>
          </a:solidFill>
        </a:ln>
      </c:spPr>
      <c:txPr>
        <a:bodyPr/>
        <a:lstStyle/>
        <a:p>
          <a:pPr>
            <a:defRPr sz="12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00"/>
            </a:pPr>
            <a:r>
              <a:rPr lang="en-GB" sz="1500"/>
              <a:t>How likely is it you would recommend this service</a:t>
            </a:r>
          </a:p>
        </c:rich>
      </c:tx>
      <c:layout>
        <c:manualLayout>
          <c:xMode val="edge"/>
          <c:yMode val="edge"/>
          <c:x val="0.13636919255526078"/>
          <c:y val="2.1130484234163034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23340473007304785"/>
          <c:y val="0.16592088813255437"/>
          <c:w val="0.52354111928338065"/>
          <c:h val="0.71523361497329407"/>
        </c:manualLayout>
      </c:layout>
      <c:pie3DChart>
        <c:varyColors val="1"/>
        <c:ser>
          <c:idx val="0"/>
          <c:order val="0"/>
          <c:explosion val="25"/>
          <c:dPt>
            <c:idx val="0"/>
            <c:bubble3D val="0"/>
            <c:spPr>
              <a:solidFill>
                <a:srgbClr val="7030A0"/>
              </a:solidFill>
            </c:spPr>
          </c:dPt>
          <c:dPt>
            <c:idx val="1"/>
            <c:bubble3D val="0"/>
            <c:spPr>
              <a:solidFill>
                <a:srgbClr val="008000"/>
              </a:solidFill>
            </c:spPr>
          </c:dPt>
          <c:dPt>
            <c:idx val="2"/>
            <c:bubble3D val="0"/>
            <c:spPr>
              <a:solidFill>
                <a:srgbClr val="DA6C60"/>
              </a:solidFill>
            </c:spPr>
          </c:dPt>
          <c:dPt>
            <c:idx val="3"/>
            <c:bubble3D val="0"/>
            <c:spPr>
              <a:solidFill>
                <a:schemeClr val="accent2">
                  <a:lumMod val="75000"/>
                </a:schemeClr>
              </a:solidFill>
            </c:spPr>
          </c:dPt>
          <c:dPt>
            <c:idx val="4"/>
            <c:bubble3D val="0"/>
            <c:spPr>
              <a:solidFill>
                <a:srgbClr val="3756F1"/>
              </a:solidFill>
            </c:spPr>
          </c:dPt>
          <c:dLbls>
            <c:txPr>
              <a:bodyPr/>
              <a:lstStyle/>
              <a:p>
                <a:pPr>
                  <a:defRPr sz="1200"/>
                </a:pPr>
                <a:endParaRPr lang="en-US"/>
              </a:p>
            </c:txPr>
            <c:dLblPos val="outEnd"/>
            <c:showLegendKey val="0"/>
            <c:showVal val="1"/>
            <c:showCatName val="0"/>
            <c:showSerName val="0"/>
            <c:showPercent val="0"/>
            <c:showBubbleSize val="0"/>
            <c:showLeaderLines val="0"/>
          </c:dLbls>
          <c:cat>
            <c:strRef>
              <c:f>'Final analysis Feb15'!$A$44:$A$48</c:f>
              <c:strCache>
                <c:ptCount val="5"/>
                <c:pt idx="0">
                  <c:v>Extremely likely </c:v>
                </c:pt>
                <c:pt idx="1">
                  <c:v>Likely</c:v>
                </c:pt>
                <c:pt idx="2">
                  <c:v>Unlikey</c:v>
                </c:pt>
                <c:pt idx="3">
                  <c:v>Extremely unlikely </c:v>
                </c:pt>
                <c:pt idx="4">
                  <c:v>Don't know</c:v>
                </c:pt>
              </c:strCache>
            </c:strRef>
          </c:cat>
          <c:val>
            <c:numRef>
              <c:f>'Final analysis Feb15'!$D$44:$D$48</c:f>
              <c:numCache>
                <c:formatCode>0%</c:formatCode>
                <c:ptCount val="5"/>
                <c:pt idx="0">
                  <c:v>0.7</c:v>
                </c:pt>
                <c:pt idx="1">
                  <c:v>0.22</c:v>
                </c:pt>
                <c:pt idx="4">
                  <c:v>0.08</c:v>
                </c:pt>
              </c:numCache>
            </c:numRef>
          </c:val>
        </c:ser>
        <c:dLbls>
          <c:showLegendKey val="0"/>
          <c:showVal val="0"/>
          <c:showCatName val="0"/>
          <c:showSerName val="0"/>
          <c:showPercent val="0"/>
          <c:showBubbleSize val="0"/>
          <c:showLeaderLines val="0"/>
        </c:dLbls>
      </c:pie3DChart>
    </c:plotArea>
    <c:legend>
      <c:legendPos val="b"/>
      <c:layout>
        <c:manualLayout>
          <c:xMode val="edge"/>
          <c:yMode val="edge"/>
          <c:x val="8.5291706957682914E-2"/>
          <c:y val="0.7635361488904796"/>
          <c:w val="0.82117358137250396"/>
          <c:h val="0.17102634897910488"/>
        </c:manualLayout>
      </c:layout>
      <c:overlay val="0"/>
      <c:spPr>
        <a:ln>
          <a:solidFill>
            <a:schemeClr val="tx1"/>
          </a:solidFill>
        </a:ln>
      </c:spPr>
      <c:txPr>
        <a:bodyPr/>
        <a:lstStyle/>
        <a:p>
          <a:pPr rtl="0">
            <a:defRPr sz="12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AD3A9-7B2E-446B-8953-BB58D26F2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ITC-JG</cp:lastModifiedBy>
  <cp:revision>7</cp:revision>
  <dcterms:created xsi:type="dcterms:W3CDTF">2015-02-10T14:05:00Z</dcterms:created>
  <dcterms:modified xsi:type="dcterms:W3CDTF">2015-02-10T14:29:00Z</dcterms:modified>
</cp:coreProperties>
</file>