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B11" w:rsidRDefault="003249DD" w:rsidP="00317B11">
      <w:pPr>
        <w:spacing w:after="0"/>
        <w:ind w:right="-188"/>
        <w:rPr>
          <w:rFonts w:ascii="Arial" w:hAnsi="Arial" w:cs="Arial"/>
          <w:sz w:val="24"/>
          <w:szCs w:val="24"/>
        </w:rPr>
      </w:pPr>
      <w:bookmarkStart w:id="0" w:name="_GoBack"/>
      <w:bookmarkEnd w:id="0"/>
      <w:r>
        <w:rPr>
          <w:rFonts w:ascii="Arial" w:hAnsi="Arial" w:cs="Arial"/>
          <w:b/>
          <w:sz w:val="32"/>
          <w:szCs w:val="32"/>
        </w:rPr>
        <w:t>Engaging our communities</w:t>
      </w:r>
    </w:p>
    <w:p w:rsidR="00317B11" w:rsidRDefault="00317B11" w:rsidP="00317B11">
      <w:pPr>
        <w:spacing w:after="0"/>
        <w:ind w:right="-188"/>
        <w:rPr>
          <w:rFonts w:ascii="Arial" w:hAnsi="Arial" w:cs="Arial"/>
          <w:sz w:val="24"/>
          <w:szCs w:val="24"/>
        </w:rPr>
      </w:pPr>
    </w:p>
    <w:p w:rsidR="00317B11" w:rsidRPr="00A83F9F" w:rsidRDefault="00317B11" w:rsidP="00317B11">
      <w:pPr>
        <w:ind w:left="426" w:hanging="426"/>
        <w:rPr>
          <w:rFonts w:ascii="Arial" w:hAnsi="Arial" w:cs="Arial"/>
          <w:b/>
          <w:sz w:val="24"/>
          <w:szCs w:val="24"/>
        </w:rPr>
      </w:pPr>
      <w:r>
        <w:rPr>
          <w:rFonts w:ascii="Arial" w:hAnsi="Arial" w:cs="Arial"/>
          <w:b/>
          <w:sz w:val="24"/>
          <w:szCs w:val="24"/>
        </w:rPr>
        <w:t>1</w:t>
      </w:r>
      <w:r w:rsidRPr="00A83F9F">
        <w:rPr>
          <w:rFonts w:ascii="Arial" w:hAnsi="Arial" w:cs="Arial"/>
          <w:b/>
          <w:sz w:val="24"/>
          <w:szCs w:val="24"/>
        </w:rPr>
        <w:t>.</w:t>
      </w:r>
      <w:r w:rsidRPr="00A83F9F">
        <w:rPr>
          <w:rFonts w:ascii="Arial" w:hAnsi="Arial" w:cs="Arial"/>
          <w:b/>
          <w:sz w:val="24"/>
          <w:szCs w:val="24"/>
        </w:rPr>
        <w:tab/>
        <w:t xml:space="preserve">Programme/Project Title: </w:t>
      </w:r>
      <w:r w:rsidR="0019442D">
        <w:rPr>
          <w:rFonts w:ascii="Arial" w:hAnsi="Arial" w:cs="Arial"/>
          <w:b/>
          <w:sz w:val="24"/>
          <w:szCs w:val="24"/>
        </w:rPr>
        <w:t xml:space="preserve">Forest of Dean Community Services Review </w:t>
      </w:r>
    </w:p>
    <w:p w:rsidR="00317B11" w:rsidRPr="00CC2FCF" w:rsidRDefault="00712A32" w:rsidP="00317B11">
      <w:pPr>
        <w:ind w:left="426" w:hanging="426"/>
        <w:rPr>
          <w:rFonts w:ascii="Arial" w:hAnsi="Arial" w:cs="Arial"/>
          <w:b/>
          <w:sz w:val="24"/>
          <w:szCs w:val="24"/>
        </w:rPr>
      </w:pPr>
      <w:r>
        <w:rPr>
          <w:rFonts w:ascii="Arial" w:hAnsi="Arial" w:cs="Arial"/>
          <w:noProof/>
          <w:color w:val="0000FF"/>
          <w:sz w:val="27"/>
          <w:szCs w:val="27"/>
          <w:lang w:eastAsia="en-GB"/>
        </w:rPr>
        <w:drawing>
          <wp:anchor distT="0" distB="0" distL="114300" distR="114300" simplePos="0" relativeHeight="251688960" behindDoc="1" locked="0" layoutInCell="1" allowOverlap="1" wp14:anchorId="1455618C" wp14:editId="2A8C01E4">
            <wp:simplePos x="0" y="0"/>
            <wp:positionH relativeFrom="column">
              <wp:posOffset>3457575</wp:posOffset>
            </wp:positionH>
            <wp:positionV relativeFrom="paragraph">
              <wp:posOffset>27940</wp:posOffset>
            </wp:positionV>
            <wp:extent cx="2748915" cy="1314450"/>
            <wp:effectExtent l="0" t="0" r="0" b="0"/>
            <wp:wrapTight wrapText="bothSides">
              <wp:wrapPolygon edited="0">
                <wp:start x="0" y="0"/>
                <wp:lineTo x="0" y="21287"/>
                <wp:lineTo x="21405" y="21287"/>
                <wp:lineTo x="21405" y="0"/>
                <wp:lineTo x="0" y="0"/>
              </wp:wrapPolygon>
            </wp:wrapTight>
            <wp:docPr id="26" name="Picture 26" descr="Image result for forest of de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orest of de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91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7B11" w:rsidRPr="00CC2FCF">
        <w:rPr>
          <w:rFonts w:ascii="Arial" w:hAnsi="Arial" w:cs="Arial"/>
          <w:b/>
          <w:sz w:val="24"/>
          <w:szCs w:val="24"/>
        </w:rPr>
        <w:t>1.1</w:t>
      </w:r>
      <w:r w:rsidR="00317B11" w:rsidRPr="00CC2FCF">
        <w:rPr>
          <w:rFonts w:ascii="Arial" w:hAnsi="Arial" w:cs="Arial"/>
          <w:b/>
          <w:sz w:val="24"/>
          <w:szCs w:val="24"/>
        </w:rPr>
        <w:tab/>
        <w:t>Background to the project</w:t>
      </w:r>
    </w:p>
    <w:p w:rsidR="00712A32" w:rsidRPr="009511BF" w:rsidRDefault="00307662" w:rsidP="00712A32">
      <w:pPr>
        <w:rPr>
          <w:rFonts w:ascii="Arial" w:hAnsi="Arial" w:cs="Arial"/>
          <w:sz w:val="24"/>
          <w:szCs w:val="24"/>
        </w:rPr>
      </w:pPr>
      <w:r>
        <w:rPr>
          <w:noProof/>
          <w:color w:val="0000FF"/>
          <w:lang w:eastAsia="en-GB"/>
        </w:rPr>
        <w:drawing>
          <wp:anchor distT="0" distB="0" distL="114300" distR="114300" simplePos="0" relativeHeight="251689984" behindDoc="1" locked="0" layoutInCell="1" allowOverlap="1" wp14:anchorId="50C7C3BF" wp14:editId="1AAD466A">
            <wp:simplePos x="0" y="0"/>
            <wp:positionH relativeFrom="column">
              <wp:posOffset>4095750</wp:posOffset>
            </wp:positionH>
            <wp:positionV relativeFrom="paragraph">
              <wp:posOffset>861060</wp:posOffset>
            </wp:positionV>
            <wp:extent cx="2228850" cy="1553845"/>
            <wp:effectExtent l="0" t="0" r="0" b="8255"/>
            <wp:wrapTight wrapText="bothSides">
              <wp:wrapPolygon edited="0">
                <wp:start x="0" y="0"/>
                <wp:lineTo x="0" y="21450"/>
                <wp:lineTo x="21415" y="21450"/>
                <wp:lineTo x="21415" y="0"/>
                <wp:lineTo x="0" y="0"/>
              </wp:wrapPolygon>
            </wp:wrapTight>
            <wp:docPr id="27" name="irc_mi" descr="Image result for Doctors surgeries in forest of dea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ctors surgeries in forest of dea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1553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A32" w:rsidRPr="009511BF">
        <w:rPr>
          <w:rFonts w:ascii="Arial" w:hAnsi="Arial" w:cs="Arial"/>
          <w:sz w:val="24"/>
          <w:szCs w:val="24"/>
        </w:rPr>
        <w:t xml:space="preserve">The Forest of Dean Community Services Review aims to develop a plan for high quality and affordable community health and care services with patients, public, staff and key partners, to meet the needs of the local residents now and in the future.  In an early media release, NHS Gloucestershire CCG committed to a ‘positive and inclusive’ approach to working with partners and the public during the review.  </w:t>
      </w:r>
    </w:p>
    <w:p w:rsidR="00712A32" w:rsidRPr="009511BF" w:rsidRDefault="00307662" w:rsidP="00712A32">
      <w:pPr>
        <w:rPr>
          <w:rFonts w:ascii="Arial" w:hAnsi="Arial" w:cs="Arial"/>
          <w:sz w:val="24"/>
          <w:szCs w:val="24"/>
        </w:rPr>
      </w:pPr>
      <w:r>
        <w:rPr>
          <w:rFonts w:ascii="Arial" w:hAnsi="Arial" w:cs="Arial"/>
          <w:noProof/>
          <w:color w:val="0000FF"/>
          <w:sz w:val="27"/>
          <w:szCs w:val="27"/>
          <w:lang w:eastAsia="en-GB"/>
        </w:rPr>
        <w:drawing>
          <wp:anchor distT="0" distB="0" distL="114300" distR="114300" simplePos="0" relativeHeight="251692032" behindDoc="1" locked="0" layoutInCell="1" allowOverlap="1" wp14:anchorId="45788694" wp14:editId="3BCFC4BE">
            <wp:simplePos x="0" y="0"/>
            <wp:positionH relativeFrom="column">
              <wp:posOffset>1476375</wp:posOffset>
            </wp:positionH>
            <wp:positionV relativeFrom="paragraph">
              <wp:posOffset>1255395</wp:posOffset>
            </wp:positionV>
            <wp:extent cx="2619375" cy="1743075"/>
            <wp:effectExtent l="0" t="0" r="9525" b="9525"/>
            <wp:wrapTight wrapText="bothSides">
              <wp:wrapPolygon edited="0">
                <wp:start x="0" y="0"/>
                <wp:lineTo x="0" y="21482"/>
                <wp:lineTo x="21521" y="21482"/>
                <wp:lineTo x="21521" y="0"/>
                <wp:lineTo x="0" y="0"/>
              </wp:wrapPolygon>
            </wp:wrapTight>
            <wp:docPr id="29" name="Picture 29" descr="Image result for Lydney hospital forest of dea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ydney hospital forest of dea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93056" behindDoc="1" locked="0" layoutInCell="1" allowOverlap="1" wp14:anchorId="39CF3BF6" wp14:editId="5E3C2C33">
            <wp:simplePos x="0" y="0"/>
            <wp:positionH relativeFrom="column">
              <wp:posOffset>3525520</wp:posOffset>
            </wp:positionH>
            <wp:positionV relativeFrom="paragraph">
              <wp:posOffset>331470</wp:posOffset>
            </wp:positionV>
            <wp:extent cx="2206625" cy="1485900"/>
            <wp:effectExtent l="0" t="0" r="3175" b="0"/>
            <wp:wrapTight wrapText="bothSides">
              <wp:wrapPolygon edited="0">
                <wp:start x="0" y="0"/>
                <wp:lineTo x="0" y="21323"/>
                <wp:lineTo x="21445" y="21323"/>
                <wp:lineTo x="21445" y="0"/>
                <wp:lineTo x="0" y="0"/>
              </wp:wrapPolygon>
            </wp:wrapTight>
            <wp:docPr id="28" name="irc_mi" descr="Image result for Dilke in forest of dea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lke in forest of dea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66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2A32" w:rsidRPr="009511BF">
        <w:rPr>
          <w:rFonts w:ascii="Arial" w:hAnsi="Arial" w:cs="Arial"/>
          <w:sz w:val="24"/>
          <w:szCs w:val="24"/>
        </w:rPr>
        <w:t xml:space="preserve">A Communication and Engagement Plan was produced to support the review and ensure comprehensive and planned engagement and communication with interested parties throughout the life time of the project.  The plan identified local stakeholders and set out the key messages and milestones for the early engagement work. </w:t>
      </w:r>
    </w:p>
    <w:p w:rsidR="00712A32" w:rsidRDefault="00712A32" w:rsidP="00317B11">
      <w:pPr>
        <w:ind w:left="426" w:hanging="426"/>
        <w:rPr>
          <w:rFonts w:ascii="Arial" w:hAnsi="Arial" w:cs="Arial"/>
          <w:b/>
          <w:sz w:val="24"/>
          <w:szCs w:val="24"/>
        </w:rPr>
      </w:pPr>
    </w:p>
    <w:p w:rsidR="00307662" w:rsidRDefault="00307662" w:rsidP="00317B11">
      <w:pPr>
        <w:ind w:left="426" w:hanging="426"/>
        <w:rPr>
          <w:rFonts w:ascii="Arial" w:hAnsi="Arial" w:cs="Arial"/>
          <w:b/>
          <w:sz w:val="24"/>
          <w:szCs w:val="24"/>
        </w:rPr>
      </w:pPr>
    </w:p>
    <w:p w:rsidR="00307662" w:rsidRDefault="00307662" w:rsidP="00317B11">
      <w:pPr>
        <w:ind w:left="426" w:hanging="426"/>
        <w:rPr>
          <w:rFonts w:ascii="Arial" w:hAnsi="Arial" w:cs="Arial"/>
          <w:b/>
          <w:sz w:val="24"/>
          <w:szCs w:val="24"/>
        </w:rPr>
      </w:pPr>
    </w:p>
    <w:p w:rsidR="00307662" w:rsidRDefault="00307662" w:rsidP="00317B11">
      <w:pPr>
        <w:ind w:left="426" w:hanging="426"/>
        <w:rPr>
          <w:rFonts w:ascii="Arial" w:hAnsi="Arial" w:cs="Arial"/>
          <w:b/>
          <w:sz w:val="24"/>
          <w:szCs w:val="24"/>
        </w:rPr>
      </w:pPr>
    </w:p>
    <w:p w:rsidR="00307662" w:rsidRDefault="00307662" w:rsidP="00317B11">
      <w:pPr>
        <w:ind w:left="426" w:hanging="426"/>
        <w:rPr>
          <w:rFonts w:ascii="Arial" w:hAnsi="Arial" w:cs="Arial"/>
          <w:b/>
          <w:sz w:val="24"/>
          <w:szCs w:val="24"/>
        </w:rPr>
      </w:pPr>
    </w:p>
    <w:p w:rsidR="00317B11" w:rsidRPr="00CC2FCF" w:rsidRDefault="00317B11" w:rsidP="00317B11">
      <w:pPr>
        <w:ind w:left="426" w:hanging="426"/>
        <w:rPr>
          <w:rFonts w:ascii="Arial" w:hAnsi="Arial" w:cs="Arial"/>
          <w:sz w:val="24"/>
          <w:szCs w:val="24"/>
        </w:rPr>
      </w:pPr>
      <w:r w:rsidRPr="00CC2FCF">
        <w:rPr>
          <w:rFonts w:ascii="Arial" w:hAnsi="Arial" w:cs="Arial"/>
          <w:b/>
          <w:sz w:val="24"/>
          <w:szCs w:val="24"/>
        </w:rPr>
        <w:t>1.2</w:t>
      </w:r>
      <w:r w:rsidRPr="00CC2FCF">
        <w:rPr>
          <w:rFonts w:ascii="Arial" w:hAnsi="Arial" w:cs="Arial"/>
          <w:b/>
          <w:sz w:val="24"/>
          <w:szCs w:val="24"/>
        </w:rPr>
        <w:tab/>
        <w:t>Local Engagement</w:t>
      </w:r>
      <w:r w:rsidRPr="00CC2FCF">
        <w:rPr>
          <w:rFonts w:ascii="Arial" w:hAnsi="Arial" w:cs="Arial"/>
          <w:sz w:val="24"/>
          <w:szCs w:val="24"/>
        </w:rPr>
        <w:t xml:space="preserve"> </w:t>
      </w:r>
    </w:p>
    <w:p w:rsidR="00712A32" w:rsidRPr="009511BF" w:rsidRDefault="00712A32" w:rsidP="00712A32">
      <w:pPr>
        <w:rPr>
          <w:rFonts w:ascii="Arial" w:hAnsi="Arial" w:cs="Arial"/>
          <w:sz w:val="24"/>
          <w:szCs w:val="24"/>
        </w:rPr>
      </w:pPr>
      <w:r w:rsidRPr="009511BF">
        <w:rPr>
          <w:rFonts w:ascii="Arial" w:hAnsi="Arial" w:cs="Arial"/>
          <w:sz w:val="24"/>
          <w:szCs w:val="24"/>
        </w:rPr>
        <w:t xml:space="preserve">Local stakeholders were identified during the development of the Communication and Engagement Plan and invited to form a Locality Reference Group with the aim of: </w:t>
      </w:r>
    </w:p>
    <w:p w:rsidR="00712A32" w:rsidRPr="009511BF" w:rsidRDefault="00712A32" w:rsidP="00712A32">
      <w:pPr>
        <w:pStyle w:val="ListParagraph"/>
        <w:numPr>
          <w:ilvl w:val="0"/>
          <w:numId w:val="22"/>
        </w:numPr>
        <w:autoSpaceDE w:val="0"/>
        <w:autoSpaceDN w:val="0"/>
        <w:adjustRightInd w:val="0"/>
        <w:rPr>
          <w:rFonts w:ascii="Arial" w:hAnsi="Arial" w:cs="Arial"/>
          <w:sz w:val="24"/>
          <w:szCs w:val="24"/>
        </w:rPr>
      </w:pPr>
      <w:r w:rsidRPr="009511BF">
        <w:rPr>
          <w:rFonts w:ascii="Arial" w:hAnsi="Arial" w:cs="Arial"/>
          <w:sz w:val="24"/>
          <w:szCs w:val="24"/>
        </w:rPr>
        <w:t xml:space="preserve">Maximising local engagement in decisions about healthcare services for the people of the Forest of Dean locality; </w:t>
      </w:r>
    </w:p>
    <w:p w:rsidR="00712A32" w:rsidRPr="009511BF" w:rsidRDefault="00712A32" w:rsidP="00712A32">
      <w:pPr>
        <w:pStyle w:val="ListParagraph"/>
        <w:numPr>
          <w:ilvl w:val="0"/>
          <w:numId w:val="22"/>
        </w:numPr>
        <w:autoSpaceDE w:val="0"/>
        <w:autoSpaceDN w:val="0"/>
        <w:adjustRightInd w:val="0"/>
        <w:rPr>
          <w:rFonts w:ascii="Arial" w:hAnsi="Arial" w:cs="Arial"/>
          <w:sz w:val="24"/>
          <w:szCs w:val="24"/>
        </w:rPr>
      </w:pPr>
      <w:r w:rsidRPr="009511BF">
        <w:rPr>
          <w:rFonts w:ascii="Arial" w:hAnsi="Arial" w:cs="Arial"/>
          <w:sz w:val="24"/>
          <w:szCs w:val="24"/>
        </w:rPr>
        <w:t>Increasing community awareness and influence; developing local support for initiatives and changes to healthcare delivery.</w:t>
      </w:r>
    </w:p>
    <w:p w:rsidR="00712A32" w:rsidRDefault="00712A32" w:rsidP="00712A32">
      <w:pPr>
        <w:rPr>
          <w:rFonts w:ascii="Arial" w:hAnsi="Arial" w:cs="Arial"/>
          <w:sz w:val="24"/>
          <w:szCs w:val="24"/>
        </w:rPr>
      </w:pPr>
      <w:r w:rsidRPr="009511BF">
        <w:rPr>
          <w:rFonts w:ascii="Arial" w:hAnsi="Arial" w:cs="Arial"/>
          <w:sz w:val="24"/>
          <w:szCs w:val="24"/>
        </w:rPr>
        <w:t xml:space="preserve">The Locality Reference Group has met </w:t>
      </w:r>
      <w:r>
        <w:rPr>
          <w:rFonts w:ascii="Arial" w:hAnsi="Arial" w:cs="Arial"/>
          <w:sz w:val="24"/>
          <w:szCs w:val="24"/>
        </w:rPr>
        <w:t>throughout 2016</w:t>
      </w:r>
      <w:r w:rsidRPr="009511BF">
        <w:rPr>
          <w:rFonts w:ascii="Arial" w:hAnsi="Arial" w:cs="Arial"/>
          <w:sz w:val="24"/>
          <w:szCs w:val="24"/>
        </w:rPr>
        <w:t xml:space="preserve">, with good levels of attendance at all meetings.  The group is not intended to be representative of the Forest of Dean population, but members are well informed and connected to their </w:t>
      </w:r>
      <w:r w:rsidRPr="009511BF">
        <w:rPr>
          <w:rFonts w:ascii="Arial" w:hAnsi="Arial" w:cs="Arial"/>
          <w:sz w:val="24"/>
          <w:szCs w:val="24"/>
        </w:rPr>
        <w:lastRenderedPageBreak/>
        <w:t xml:space="preserve">local community.  The group has helped us to shape our engagement plans and members have been proactive in encouraging their local networks to contribute to the review.  </w:t>
      </w:r>
      <w:r w:rsidR="00636029">
        <w:rPr>
          <w:rFonts w:ascii="Arial" w:hAnsi="Arial" w:cs="Arial"/>
          <w:sz w:val="24"/>
          <w:szCs w:val="24"/>
        </w:rPr>
        <w:t xml:space="preserve">This included engagement with young people, parents, </w:t>
      </w:r>
      <w:proofErr w:type="gramStart"/>
      <w:r w:rsidR="00636029">
        <w:rPr>
          <w:rFonts w:ascii="Arial" w:hAnsi="Arial" w:cs="Arial"/>
          <w:sz w:val="24"/>
          <w:szCs w:val="24"/>
        </w:rPr>
        <w:t>patients</w:t>
      </w:r>
      <w:proofErr w:type="gramEnd"/>
      <w:r w:rsidR="00636029">
        <w:rPr>
          <w:rFonts w:ascii="Arial" w:hAnsi="Arial" w:cs="Arial"/>
          <w:sz w:val="24"/>
          <w:szCs w:val="24"/>
        </w:rPr>
        <w:t xml:space="preserve"> with long term health conditions, carers and local voluntary sector organisations. </w:t>
      </w:r>
    </w:p>
    <w:p w:rsidR="00712A32" w:rsidRDefault="00712A32" w:rsidP="00712A32">
      <w:pPr>
        <w:rPr>
          <w:rFonts w:ascii="Arial" w:hAnsi="Arial" w:cs="Arial"/>
          <w:sz w:val="24"/>
          <w:szCs w:val="24"/>
        </w:rPr>
      </w:pPr>
      <w:r>
        <w:rPr>
          <w:rFonts w:ascii="Arial" w:hAnsi="Arial" w:cs="Arial"/>
          <w:sz w:val="24"/>
          <w:szCs w:val="24"/>
        </w:rPr>
        <w:t xml:space="preserve">Wider staff, GP and public engagement focussed on providing the opportunity for people to share their views about what currently works well in local health and care services and what was needed to support them in the future. </w:t>
      </w:r>
    </w:p>
    <w:p w:rsidR="00712A32" w:rsidRDefault="00712A32" w:rsidP="00317B11">
      <w:pPr>
        <w:ind w:left="426" w:hanging="426"/>
        <w:rPr>
          <w:rFonts w:ascii="Arial" w:hAnsi="Arial" w:cs="Arial"/>
          <w:b/>
          <w:sz w:val="24"/>
          <w:szCs w:val="24"/>
        </w:rPr>
      </w:pPr>
    </w:p>
    <w:p w:rsidR="00317B11" w:rsidRDefault="00317B11" w:rsidP="00317B11">
      <w:pPr>
        <w:ind w:left="426" w:hanging="426"/>
        <w:rPr>
          <w:rFonts w:ascii="Arial" w:hAnsi="Arial" w:cs="Arial"/>
          <w:b/>
          <w:sz w:val="24"/>
          <w:szCs w:val="24"/>
        </w:rPr>
      </w:pPr>
      <w:r w:rsidRPr="000E1E26">
        <w:rPr>
          <w:rFonts w:ascii="Arial" w:hAnsi="Arial" w:cs="Arial"/>
          <w:b/>
          <w:sz w:val="24"/>
          <w:szCs w:val="24"/>
        </w:rPr>
        <w:t>1.3</w:t>
      </w:r>
      <w:r w:rsidRPr="000E1E26">
        <w:rPr>
          <w:rFonts w:ascii="Arial" w:hAnsi="Arial" w:cs="Arial"/>
          <w:b/>
          <w:sz w:val="24"/>
          <w:szCs w:val="24"/>
        </w:rPr>
        <w:tab/>
        <w:t>What we learned/outcome</w:t>
      </w:r>
    </w:p>
    <w:p w:rsidR="00307662" w:rsidRPr="009511BF" w:rsidRDefault="00307662" w:rsidP="00307662">
      <w:pPr>
        <w:rPr>
          <w:rFonts w:ascii="Arial" w:hAnsi="Arial" w:cs="Arial"/>
          <w:sz w:val="24"/>
          <w:szCs w:val="24"/>
        </w:rPr>
      </w:pPr>
      <w:r w:rsidRPr="009511BF">
        <w:rPr>
          <w:rFonts w:ascii="Arial" w:hAnsi="Arial" w:cs="Arial"/>
          <w:sz w:val="24"/>
          <w:szCs w:val="24"/>
        </w:rPr>
        <w:t xml:space="preserve">Feedback </w:t>
      </w:r>
      <w:r>
        <w:rPr>
          <w:rFonts w:ascii="Arial" w:hAnsi="Arial" w:cs="Arial"/>
          <w:sz w:val="24"/>
          <w:szCs w:val="24"/>
        </w:rPr>
        <w:t>was</w:t>
      </w:r>
      <w:r w:rsidRPr="009511BF">
        <w:rPr>
          <w:rFonts w:ascii="Arial" w:hAnsi="Arial" w:cs="Arial"/>
          <w:sz w:val="24"/>
          <w:szCs w:val="24"/>
        </w:rPr>
        <w:t xml:space="preserve"> gathered across </w:t>
      </w:r>
      <w:r>
        <w:rPr>
          <w:rFonts w:ascii="Arial" w:hAnsi="Arial" w:cs="Arial"/>
          <w:sz w:val="24"/>
          <w:szCs w:val="24"/>
        </w:rPr>
        <w:t>26</w:t>
      </w:r>
      <w:r w:rsidRPr="009511BF">
        <w:rPr>
          <w:rFonts w:ascii="Arial" w:hAnsi="Arial" w:cs="Arial"/>
          <w:sz w:val="24"/>
          <w:szCs w:val="24"/>
        </w:rPr>
        <w:t xml:space="preserve"> stakeholder </w:t>
      </w:r>
      <w:r>
        <w:rPr>
          <w:rFonts w:ascii="Arial" w:hAnsi="Arial" w:cs="Arial"/>
          <w:sz w:val="24"/>
          <w:szCs w:val="24"/>
        </w:rPr>
        <w:t>events, 21</w:t>
      </w:r>
      <w:r w:rsidRPr="009511BF">
        <w:rPr>
          <w:rFonts w:ascii="Arial" w:hAnsi="Arial" w:cs="Arial"/>
          <w:sz w:val="24"/>
          <w:szCs w:val="24"/>
        </w:rPr>
        <w:t xml:space="preserve"> staff events and meetings of both the Locality Reference Group and Locality Executive Group.  In addition 73 completed on-line questionnaires </w:t>
      </w:r>
      <w:r>
        <w:rPr>
          <w:rFonts w:ascii="Arial" w:hAnsi="Arial" w:cs="Arial"/>
          <w:sz w:val="24"/>
          <w:szCs w:val="24"/>
        </w:rPr>
        <w:t>were</w:t>
      </w:r>
      <w:r w:rsidRPr="009511BF">
        <w:rPr>
          <w:rFonts w:ascii="Arial" w:hAnsi="Arial" w:cs="Arial"/>
          <w:sz w:val="24"/>
          <w:szCs w:val="24"/>
        </w:rPr>
        <w:t xml:space="preserve"> received.  </w:t>
      </w:r>
    </w:p>
    <w:p w:rsidR="00307662" w:rsidRPr="009511BF" w:rsidRDefault="00307662" w:rsidP="00307662">
      <w:pPr>
        <w:rPr>
          <w:rFonts w:ascii="Arial" w:hAnsi="Arial" w:cs="Arial"/>
          <w:sz w:val="24"/>
          <w:szCs w:val="24"/>
        </w:rPr>
      </w:pPr>
      <w:r w:rsidRPr="009511BF">
        <w:rPr>
          <w:rFonts w:ascii="Arial" w:hAnsi="Arial" w:cs="Arial"/>
          <w:sz w:val="24"/>
          <w:szCs w:val="24"/>
        </w:rPr>
        <w:t xml:space="preserve">There </w:t>
      </w:r>
      <w:r>
        <w:rPr>
          <w:rFonts w:ascii="Arial" w:hAnsi="Arial" w:cs="Arial"/>
          <w:sz w:val="24"/>
          <w:szCs w:val="24"/>
        </w:rPr>
        <w:t>was</w:t>
      </w:r>
      <w:r w:rsidRPr="009511BF">
        <w:rPr>
          <w:rFonts w:ascii="Arial" w:hAnsi="Arial" w:cs="Arial"/>
          <w:sz w:val="24"/>
          <w:szCs w:val="24"/>
        </w:rPr>
        <w:t xml:space="preserve"> significant commonality between the feedback received from staff and the local community.   Whilst some of the feedback relate</w:t>
      </w:r>
      <w:r>
        <w:rPr>
          <w:rFonts w:ascii="Arial" w:hAnsi="Arial" w:cs="Arial"/>
          <w:sz w:val="24"/>
          <w:szCs w:val="24"/>
        </w:rPr>
        <w:t>d</w:t>
      </w:r>
      <w:r w:rsidRPr="009511BF">
        <w:rPr>
          <w:rFonts w:ascii="Arial" w:hAnsi="Arial" w:cs="Arial"/>
          <w:sz w:val="24"/>
          <w:szCs w:val="24"/>
        </w:rPr>
        <w:t xml:space="preserve"> to very local services, comments will also be relevant to countywide services and may be helpful in informing wider strategic planning.  </w:t>
      </w:r>
      <w:r>
        <w:rPr>
          <w:rFonts w:ascii="Arial" w:hAnsi="Arial" w:cs="Arial"/>
          <w:sz w:val="24"/>
          <w:szCs w:val="24"/>
        </w:rPr>
        <w:t>K</w:t>
      </w:r>
      <w:r w:rsidRPr="009511BF">
        <w:rPr>
          <w:rFonts w:ascii="Arial" w:hAnsi="Arial" w:cs="Arial"/>
          <w:sz w:val="24"/>
          <w:szCs w:val="24"/>
        </w:rPr>
        <w:t xml:space="preserve">ey themes noted </w:t>
      </w:r>
      <w:r>
        <w:rPr>
          <w:rFonts w:ascii="Arial" w:hAnsi="Arial" w:cs="Arial"/>
          <w:sz w:val="24"/>
          <w:szCs w:val="24"/>
        </w:rPr>
        <w:t>relate to</w:t>
      </w:r>
      <w:r w:rsidRPr="009511BF">
        <w:rPr>
          <w:rFonts w:ascii="Arial" w:hAnsi="Arial" w:cs="Arial"/>
          <w:sz w:val="24"/>
          <w:szCs w:val="24"/>
        </w:rPr>
        <w:t xml:space="preserve">: </w:t>
      </w:r>
    </w:p>
    <w:p w:rsidR="00307662" w:rsidRPr="00307662" w:rsidRDefault="00307662" w:rsidP="00307662">
      <w:pPr>
        <w:pStyle w:val="ListParagraph"/>
        <w:numPr>
          <w:ilvl w:val="0"/>
          <w:numId w:val="23"/>
        </w:numPr>
        <w:spacing w:after="0"/>
        <w:ind w:left="714" w:hanging="357"/>
        <w:rPr>
          <w:rFonts w:ascii="Arial" w:hAnsi="Arial" w:cs="Arial"/>
          <w:sz w:val="24"/>
          <w:szCs w:val="24"/>
        </w:rPr>
      </w:pPr>
      <w:r w:rsidRPr="00307662">
        <w:rPr>
          <w:rFonts w:ascii="Arial" w:hAnsi="Arial" w:cs="Arial"/>
          <w:sz w:val="24"/>
          <w:szCs w:val="24"/>
        </w:rPr>
        <w:t xml:space="preserve">Access to services </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Community Hospitals</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Urgent care</w:t>
      </w:r>
      <w:r>
        <w:rPr>
          <w:rFonts w:ascii="Arial" w:hAnsi="Arial" w:cs="Arial"/>
          <w:sz w:val="24"/>
          <w:szCs w:val="24"/>
        </w:rPr>
        <w:t>, including Out of Hours GP services</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Outpatient services</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Community Nursing</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Mental Health services</w:t>
      </w:r>
    </w:p>
    <w:p w:rsidR="00307662" w:rsidRPr="009511BF"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Education and information</w:t>
      </w:r>
    </w:p>
    <w:p w:rsidR="00307662" w:rsidRDefault="00307662" w:rsidP="00307662">
      <w:pPr>
        <w:pStyle w:val="ListParagraph"/>
        <w:numPr>
          <w:ilvl w:val="0"/>
          <w:numId w:val="23"/>
        </w:numPr>
        <w:spacing w:after="0"/>
        <w:ind w:left="714" w:hanging="357"/>
        <w:rPr>
          <w:rFonts w:ascii="Arial" w:hAnsi="Arial" w:cs="Arial"/>
          <w:sz w:val="24"/>
          <w:szCs w:val="24"/>
        </w:rPr>
      </w:pPr>
      <w:r w:rsidRPr="009511BF">
        <w:rPr>
          <w:rFonts w:ascii="Arial" w:hAnsi="Arial" w:cs="Arial"/>
          <w:sz w:val="24"/>
          <w:szCs w:val="24"/>
        </w:rPr>
        <w:t>Integration/Partnership working</w:t>
      </w:r>
    </w:p>
    <w:p w:rsidR="00307662" w:rsidRDefault="00307662" w:rsidP="00307662">
      <w:pPr>
        <w:spacing w:after="0"/>
        <w:rPr>
          <w:rFonts w:ascii="Arial" w:hAnsi="Arial" w:cs="Arial"/>
          <w:sz w:val="24"/>
          <w:szCs w:val="24"/>
        </w:rPr>
      </w:pPr>
    </w:p>
    <w:p w:rsidR="00307662" w:rsidRPr="00307662" w:rsidRDefault="00307662" w:rsidP="00307662">
      <w:pPr>
        <w:spacing w:after="0"/>
        <w:rPr>
          <w:rFonts w:ascii="Arial" w:hAnsi="Arial" w:cs="Arial"/>
          <w:sz w:val="24"/>
          <w:szCs w:val="24"/>
        </w:rPr>
      </w:pPr>
      <w:r>
        <w:rPr>
          <w:rFonts w:ascii="Arial" w:hAnsi="Arial" w:cs="Arial"/>
          <w:sz w:val="24"/>
          <w:szCs w:val="24"/>
        </w:rPr>
        <w:t xml:space="preserve">A copy of the full engagement report is available </w:t>
      </w:r>
      <w:hyperlink r:id="rId16" w:history="1">
        <w:r w:rsidRPr="00307662">
          <w:rPr>
            <w:rStyle w:val="Hyperlink"/>
            <w:rFonts w:ascii="Arial" w:hAnsi="Arial" w:cs="Arial"/>
            <w:sz w:val="24"/>
            <w:szCs w:val="24"/>
          </w:rPr>
          <w:t>here</w:t>
        </w:r>
      </w:hyperlink>
    </w:p>
    <w:p w:rsidR="00307662" w:rsidRPr="009511BF" w:rsidRDefault="00307662" w:rsidP="00307662">
      <w:pPr>
        <w:ind w:left="720"/>
        <w:rPr>
          <w:rFonts w:ascii="Arial" w:hAnsi="Arial" w:cs="Arial"/>
          <w:sz w:val="24"/>
          <w:szCs w:val="24"/>
        </w:rPr>
      </w:pPr>
    </w:p>
    <w:p w:rsidR="00317B11" w:rsidRPr="003230F8" w:rsidRDefault="00317B11" w:rsidP="00317B11">
      <w:pPr>
        <w:widowControl w:val="0"/>
        <w:ind w:left="426" w:right="181" w:hanging="426"/>
        <w:rPr>
          <w:rFonts w:ascii="Arial" w:hAnsi="Arial" w:cs="Arial"/>
          <w:b/>
          <w:sz w:val="24"/>
          <w:szCs w:val="24"/>
        </w:rPr>
      </w:pPr>
      <w:r>
        <w:rPr>
          <w:rFonts w:ascii="Arial" w:hAnsi="Arial" w:cs="Arial"/>
          <w:b/>
          <w:sz w:val="24"/>
          <w:szCs w:val="24"/>
        </w:rPr>
        <w:t>1.</w:t>
      </w:r>
      <w:r w:rsidRPr="003230F8">
        <w:rPr>
          <w:rFonts w:ascii="Arial" w:hAnsi="Arial" w:cs="Arial"/>
          <w:b/>
          <w:sz w:val="24"/>
          <w:szCs w:val="24"/>
        </w:rPr>
        <w:t xml:space="preserve">4 </w:t>
      </w:r>
      <w:r w:rsidRPr="003230F8">
        <w:rPr>
          <w:rFonts w:ascii="Arial" w:hAnsi="Arial" w:cs="Arial"/>
          <w:b/>
          <w:sz w:val="24"/>
          <w:szCs w:val="24"/>
        </w:rPr>
        <w:tab/>
        <w:t>The next steps</w:t>
      </w:r>
      <w:r w:rsidRPr="003230F8">
        <w:rPr>
          <w:rFonts w:ascii="Arial" w:hAnsi="Arial" w:cs="Arial"/>
          <w:b/>
          <w:sz w:val="24"/>
          <w:szCs w:val="24"/>
        </w:rPr>
        <w:tab/>
      </w:r>
      <w:r w:rsidRPr="003230F8">
        <w:rPr>
          <w:rFonts w:ascii="Arial" w:hAnsi="Arial" w:cs="Arial"/>
          <w:b/>
          <w:sz w:val="24"/>
          <w:szCs w:val="24"/>
        </w:rPr>
        <w:tab/>
      </w:r>
    </w:p>
    <w:p w:rsidR="00E15FA5" w:rsidRPr="009511BF" w:rsidRDefault="00E15FA5" w:rsidP="00E15FA5">
      <w:pPr>
        <w:rPr>
          <w:rFonts w:ascii="Arial" w:hAnsi="Arial" w:cs="Arial"/>
          <w:sz w:val="24"/>
          <w:szCs w:val="24"/>
        </w:rPr>
      </w:pPr>
      <w:r w:rsidRPr="009511BF">
        <w:rPr>
          <w:rFonts w:ascii="Arial" w:hAnsi="Arial" w:cs="Arial"/>
          <w:sz w:val="24"/>
          <w:szCs w:val="24"/>
        </w:rPr>
        <w:t xml:space="preserve">Whilst our planned engagement activity </w:t>
      </w:r>
      <w:r>
        <w:rPr>
          <w:rFonts w:ascii="Arial" w:hAnsi="Arial" w:cs="Arial"/>
          <w:sz w:val="24"/>
          <w:szCs w:val="24"/>
        </w:rPr>
        <w:t xml:space="preserve">has come </w:t>
      </w:r>
      <w:r w:rsidRPr="009511BF">
        <w:rPr>
          <w:rFonts w:ascii="Arial" w:hAnsi="Arial" w:cs="Arial"/>
          <w:sz w:val="24"/>
          <w:szCs w:val="24"/>
        </w:rPr>
        <w:t xml:space="preserve">to an end, work </w:t>
      </w:r>
      <w:r>
        <w:rPr>
          <w:rFonts w:ascii="Arial" w:hAnsi="Arial" w:cs="Arial"/>
          <w:sz w:val="24"/>
          <w:szCs w:val="24"/>
        </w:rPr>
        <w:t>is now underway to d</w:t>
      </w:r>
      <w:r w:rsidRPr="009511BF">
        <w:rPr>
          <w:rFonts w:ascii="Arial" w:hAnsi="Arial" w:cs="Arial"/>
          <w:sz w:val="24"/>
          <w:szCs w:val="24"/>
        </w:rPr>
        <w:t xml:space="preserve">evelop materials to support </w:t>
      </w:r>
      <w:r>
        <w:rPr>
          <w:rFonts w:ascii="Arial" w:hAnsi="Arial" w:cs="Arial"/>
          <w:sz w:val="24"/>
          <w:szCs w:val="24"/>
        </w:rPr>
        <w:t>a</w:t>
      </w:r>
      <w:r w:rsidRPr="009511BF">
        <w:rPr>
          <w:rFonts w:ascii="Arial" w:hAnsi="Arial" w:cs="Arial"/>
          <w:sz w:val="24"/>
          <w:szCs w:val="24"/>
        </w:rPr>
        <w:t xml:space="preserve"> formal Consultation on </w:t>
      </w:r>
      <w:r>
        <w:rPr>
          <w:rFonts w:ascii="Arial" w:hAnsi="Arial" w:cs="Arial"/>
          <w:sz w:val="24"/>
          <w:szCs w:val="24"/>
        </w:rPr>
        <w:t xml:space="preserve">a </w:t>
      </w:r>
      <w:r w:rsidRPr="009511BF">
        <w:rPr>
          <w:rFonts w:ascii="Arial" w:hAnsi="Arial" w:cs="Arial"/>
          <w:sz w:val="24"/>
          <w:szCs w:val="24"/>
        </w:rPr>
        <w:t xml:space="preserve">future model of care.  It is anticipated that this will include printed and web-based materials, social media, information drop-ins and promotion of the Consultation via the NHS Information Bus and local media.  </w:t>
      </w:r>
    </w:p>
    <w:p w:rsidR="00E15FA5" w:rsidRDefault="00E15FA5" w:rsidP="00E15FA5">
      <w:pPr>
        <w:rPr>
          <w:rFonts w:ascii="Arial" w:hAnsi="Arial" w:cs="Arial"/>
          <w:sz w:val="24"/>
          <w:szCs w:val="24"/>
        </w:rPr>
      </w:pPr>
      <w:r w:rsidRPr="009511BF">
        <w:rPr>
          <w:rFonts w:ascii="Arial" w:hAnsi="Arial" w:cs="Arial"/>
          <w:sz w:val="24"/>
          <w:szCs w:val="24"/>
        </w:rPr>
        <w:t xml:space="preserve">A detailed Consultation Plan </w:t>
      </w:r>
      <w:r>
        <w:rPr>
          <w:rFonts w:ascii="Arial" w:hAnsi="Arial" w:cs="Arial"/>
          <w:sz w:val="24"/>
          <w:szCs w:val="24"/>
        </w:rPr>
        <w:t xml:space="preserve">is being developed and will be presented </w:t>
      </w:r>
      <w:r w:rsidRPr="009511BF">
        <w:rPr>
          <w:rFonts w:ascii="Arial" w:hAnsi="Arial" w:cs="Arial"/>
          <w:sz w:val="24"/>
          <w:szCs w:val="24"/>
        </w:rPr>
        <w:t xml:space="preserve">to the Gloucestershire Health and Care Overview and Scrutiny Committee during the launch of a twelve week Consultation in </w:t>
      </w:r>
      <w:proofErr w:type="gramStart"/>
      <w:r>
        <w:rPr>
          <w:rFonts w:ascii="Arial" w:hAnsi="Arial" w:cs="Arial"/>
          <w:sz w:val="24"/>
          <w:szCs w:val="24"/>
        </w:rPr>
        <w:t>Summer</w:t>
      </w:r>
      <w:proofErr w:type="gramEnd"/>
      <w:r>
        <w:rPr>
          <w:rFonts w:ascii="Arial" w:hAnsi="Arial" w:cs="Arial"/>
          <w:sz w:val="24"/>
          <w:szCs w:val="24"/>
        </w:rPr>
        <w:t xml:space="preserve"> 2017</w:t>
      </w:r>
      <w:r w:rsidRPr="009511BF">
        <w:rPr>
          <w:rFonts w:ascii="Arial" w:hAnsi="Arial" w:cs="Arial"/>
          <w:sz w:val="24"/>
          <w:szCs w:val="24"/>
        </w:rPr>
        <w:t xml:space="preserve">.  </w:t>
      </w:r>
    </w:p>
    <w:p w:rsidR="00611776" w:rsidRDefault="00611776" w:rsidP="00E15FA5">
      <w:pPr>
        <w:rPr>
          <w:rFonts w:ascii="Arial" w:hAnsi="Arial" w:cs="Arial"/>
          <w:sz w:val="24"/>
          <w:szCs w:val="24"/>
        </w:rPr>
      </w:pPr>
    </w:p>
    <w:p w:rsidR="00611776" w:rsidRDefault="00611776" w:rsidP="00611776">
      <w:pPr>
        <w:ind w:left="426" w:hanging="426"/>
        <w:rPr>
          <w:rFonts w:ascii="Arial" w:hAnsi="Arial" w:cs="Arial"/>
          <w:b/>
          <w:sz w:val="24"/>
          <w:szCs w:val="24"/>
        </w:rPr>
      </w:pPr>
      <w:r>
        <w:rPr>
          <w:rFonts w:ascii="Arial" w:hAnsi="Arial" w:cs="Arial"/>
          <w:b/>
          <w:sz w:val="24"/>
          <w:szCs w:val="24"/>
        </w:rPr>
        <w:lastRenderedPageBreak/>
        <w:t>2</w:t>
      </w:r>
      <w:r w:rsidRPr="00A83F9F">
        <w:rPr>
          <w:rFonts w:ascii="Arial" w:hAnsi="Arial" w:cs="Arial"/>
          <w:b/>
          <w:sz w:val="24"/>
          <w:szCs w:val="24"/>
        </w:rPr>
        <w:t>.</w:t>
      </w:r>
      <w:r w:rsidRPr="00A83F9F">
        <w:rPr>
          <w:rFonts w:ascii="Arial" w:hAnsi="Arial" w:cs="Arial"/>
          <w:b/>
          <w:sz w:val="24"/>
          <w:szCs w:val="24"/>
        </w:rPr>
        <w:tab/>
        <w:t xml:space="preserve">Programme/Project Title: </w:t>
      </w:r>
      <w:r w:rsidR="00BF3403">
        <w:rPr>
          <w:rFonts w:ascii="Arial" w:hAnsi="Arial" w:cs="Arial"/>
          <w:b/>
          <w:sz w:val="24"/>
          <w:szCs w:val="24"/>
        </w:rPr>
        <w:t xml:space="preserve">Support at </w:t>
      </w:r>
      <w:proofErr w:type="gramStart"/>
      <w:r w:rsidR="00BF3403">
        <w:rPr>
          <w:rFonts w:ascii="Arial" w:hAnsi="Arial" w:cs="Arial"/>
          <w:b/>
          <w:sz w:val="24"/>
          <w:szCs w:val="24"/>
        </w:rPr>
        <w:t>The</w:t>
      </w:r>
      <w:proofErr w:type="gramEnd"/>
      <w:r w:rsidR="00BF3403">
        <w:rPr>
          <w:rFonts w:ascii="Arial" w:hAnsi="Arial" w:cs="Arial"/>
          <w:b/>
          <w:sz w:val="24"/>
          <w:szCs w:val="24"/>
        </w:rPr>
        <w:t xml:space="preserve"> Cavern</w:t>
      </w:r>
      <w:r>
        <w:rPr>
          <w:rFonts w:ascii="Arial" w:hAnsi="Arial" w:cs="Arial"/>
          <w:b/>
          <w:sz w:val="24"/>
          <w:szCs w:val="24"/>
        </w:rPr>
        <w:t xml:space="preserve">  </w:t>
      </w:r>
    </w:p>
    <w:p w:rsidR="00611776" w:rsidRDefault="00611776" w:rsidP="00611776">
      <w:pPr>
        <w:ind w:left="426" w:hanging="426"/>
        <w:rPr>
          <w:rFonts w:ascii="Arial" w:hAnsi="Arial" w:cs="Arial"/>
          <w:b/>
          <w:sz w:val="24"/>
          <w:szCs w:val="24"/>
        </w:rPr>
      </w:pPr>
      <w:r>
        <w:rPr>
          <w:rFonts w:ascii="Arial" w:hAnsi="Arial" w:cs="Arial"/>
          <w:b/>
          <w:sz w:val="24"/>
          <w:szCs w:val="24"/>
        </w:rPr>
        <w:t>2.1</w:t>
      </w:r>
      <w:r>
        <w:rPr>
          <w:rFonts w:ascii="Arial" w:hAnsi="Arial" w:cs="Arial"/>
          <w:b/>
          <w:sz w:val="24"/>
          <w:szCs w:val="24"/>
        </w:rPr>
        <w:tab/>
        <w:t>Background to the project</w:t>
      </w:r>
    </w:p>
    <w:p w:rsidR="007E61B1" w:rsidRPr="007E61B1" w:rsidRDefault="007E61B1" w:rsidP="007E61B1">
      <w:pPr>
        <w:rPr>
          <w:rFonts w:ascii="Arial" w:hAnsi="Arial" w:cs="Arial"/>
          <w:sz w:val="24"/>
          <w:szCs w:val="24"/>
        </w:rPr>
      </w:pPr>
      <w:r w:rsidRPr="007E61B1">
        <w:rPr>
          <w:rFonts w:ascii="Arial" w:hAnsi="Arial" w:cs="Arial"/>
          <w:sz w:val="24"/>
          <w:szCs w:val="24"/>
        </w:rPr>
        <w:t>In Gloucestershire, it is estimated that there are around 24,921 with some form of mental health issue, ranging from anxiety and depression through to per</w:t>
      </w:r>
      <w:r>
        <w:rPr>
          <w:rFonts w:ascii="Arial" w:hAnsi="Arial" w:cs="Arial"/>
          <w:sz w:val="24"/>
          <w:szCs w:val="24"/>
        </w:rPr>
        <w:t xml:space="preserve">sonality disorder and psychosis.  Evidence suggests that for many of these patients, the Emergency Department (ED) at their local hospital </w:t>
      </w:r>
      <w:r w:rsidRPr="007E61B1">
        <w:rPr>
          <w:rFonts w:ascii="Arial" w:hAnsi="Arial" w:cs="Arial"/>
          <w:sz w:val="24"/>
          <w:szCs w:val="24"/>
        </w:rPr>
        <w:t xml:space="preserve">may be perceived as their </w:t>
      </w:r>
      <w:r>
        <w:rPr>
          <w:rFonts w:ascii="Arial" w:hAnsi="Arial" w:cs="Arial"/>
          <w:sz w:val="24"/>
          <w:szCs w:val="24"/>
        </w:rPr>
        <w:t xml:space="preserve">best </w:t>
      </w:r>
      <w:r w:rsidRPr="007E61B1">
        <w:rPr>
          <w:rFonts w:ascii="Arial" w:hAnsi="Arial" w:cs="Arial"/>
          <w:sz w:val="24"/>
          <w:szCs w:val="24"/>
        </w:rPr>
        <w:t>option</w:t>
      </w:r>
      <w:r>
        <w:rPr>
          <w:rFonts w:ascii="Arial" w:hAnsi="Arial" w:cs="Arial"/>
          <w:sz w:val="24"/>
          <w:szCs w:val="24"/>
        </w:rPr>
        <w:t xml:space="preserve"> for support </w:t>
      </w:r>
      <w:r w:rsidRPr="007E61B1">
        <w:rPr>
          <w:rFonts w:ascii="Arial" w:hAnsi="Arial" w:cs="Arial"/>
          <w:sz w:val="24"/>
          <w:szCs w:val="24"/>
        </w:rPr>
        <w:t>during a mental health crisis</w:t>
      </w:r>
      <w:r>
        <w:rPr>
          <w:rFonts w:ascii="Arial" w:hAnsi="Arial" w:cs="Arial"/>
          <w:sz w:val="24"/>
          <w:szCs w:val="24"/>
        </w:rPr>
        <w:t xml:space="preserve"> – recent figures show over 1,100</w:t>
      </w:r>
      <w:r w:rsidRPr="007E61B1">
        <w:rPr>
          <w:rFonts w:ascii="Arial" w:hAnsi="Arial" w:cs="Arial"/>
          <w:sz w:val="24"/>
          <w:szCs w:val="24"/>
        </w:rPr>
        <w:t xml:space="preserve"> </w:t>
      </w:r>
      <w:r>
        <w:rPr>
          <w:rFonts w:ascii="Arial" w:hAnsi="Arial" w:cs="Arial"/>
          <w:sz w:val="24"/>
          <w:szCs w:val="24"/>
        </w:rPr>
        <w:t xml:space="preserve">such attendances per annum at our </w:t>
      </w:r>
      <w:r w:rsidRPr="007E61B1">
        <w:rPr>
          <w:rFonts w:ascii="Arial" w:hAnsi="Arial" w:cs="Arial"/>
          <w:sz w:val="24"/>
          <w:szCs w:val="24"/>
        </w:rPr>
        <w:t>Gloucestershire</w:t>
      </w:r>
      <w:r>
        <w:rPr>
          <w:rFonts w:ascii="Arial" w:hAnsi="Arial" w:cs="Arial"/>
          <w:sz w:val="24"/>
          <w:szCs w:val="24"/>
        </w:rPr>
        <w:t xml:space="preserve"> hospitals</w:t>
      </w:r>
      <w:r w:rsidRPr="007E61B1">
        <w:rPr>
          <w:rFonts w:ascii="Arial" w:hAnsi="Arial" w:cs="Arial"/>
          <w:sz w:val="24"/>
          <w:szCs w:val="24"/>
        </w:rPr>
        <w:t>.</w:t>
      </w:r>
    </w:p>
    <w:p w:rsidR="007E61B1" w:rsidRDefault="007E61B1" w:rsidP="007E61B1">
      <w:pPr>
        <w:rPr>
          <w:rFonts w:ascii="Arial" w:hAnsi="Arial" w:cs="Arial"/>
          <w:sz w:val="24"/>
          <w:szCs w:val="24"/>
        </w:rPr>
      </w:pPr>
      <w:r>
        <w:rPr>
          <w:rFonts w:ascii="Arial" w:hAnsi="Arial" w:cs="Arial"/>
          <w:sz w:val="24"/>
          <w:szCs w:val="24"/>
        </w:rPr>
        <w:t xml:space="preserve">As an alternative to ED, other areas have successfully trialled a </w:t>
      </w:r>
      <w:r w:rsidRPr="007E61B1">
        <w:rPr>
          <w:rFonts w:ascii="Arial" w:hAnsi="Arial" w:cs="Arial"/>
          <w:sz w:val="24"/>
          <w:szCs w:val="24"/>
        </w:rPr>
        <w:t>café model</w:t>
      </w:r>
      <w:r w:rsidR="00A411FB">
        <w:rPr>
          <w:rFonts w:ascii="Arial" w:hAnsi="Arial" w:cs="Arial"/>
          <w:sz w:val="24"/>
          <w:szCs w:val="24"/>
        </w:rPr>
        <w:t xml:space="preserve"> to support individuals in crisis</w:t>
      </w:r>
      <w:r>
        <w:rPr>
          <w:rFonts w:ascii="Arial" w:hAnsi="Arial" w:cs="Arial"/>
          <w:sz w:val="24"/>
          <w:szCs w:val="24"/>
        </w:rPr>
        <w:t>. In Aldershot, this model saw</w:t>
      </w:r>
      <w:r w:rsidRPr="007E61B1">
        <w:rPr>
          <w:rFonts w:ascii="Arial" w:hAnsi="Arial" w:cs="Arial"/>
          <w:sz w:val="24"/>
          <w:szCs w:val="24"/>
        </w:rPr>
        <w:t xml:space="preserve"> an estimated reduction in the number of psychiatric admissions by 33%</w:t>
      </w:r>
      <w:r>
        <w:rPr>
          <w:rFonts w:ascii="Arial" w:hAnsi="Arial" w:cs="Arial"/>
          <w:sz w:val="24"/>
          <w:szCs w:val="24"/>
        </w:rPr>
        <w:t>, with</w:t>
      </w:r>
      <w:r w:rsidRPr="007E61B1">
        <w:rPr>
          <w:rFonts w:ascii="Arial" w:hAnsi="Arial" w:cs="Arial"/>
          <w:sz w:val="24"/>
          <w:szCs w:val="24"/>
        </w:rPr>
        <w:t xml:space="preserve"> 63 confirmed reports of people using the café as an alternative to ED w</w:t>
      </w:r>
      <w:r>
        <w:rPr>
          <w:rFonts w:ascii="Arial" w:hAnsi="Arial" w:cs="Arial"/>
          <w:sz w:val="24"/>
          <w:szCs w:val="24"/>
        </w:rPr>
        <w:t xml:space="preserve">ithin its initial 3 month trial. </w:t>
      </w:r>
    </w:p>
    <w:p w:rsidR="00BA44C1" w:rsidRDefault="007E61B1" w:rsidP="007E61B1">
      <w:pPr>
        <w:rPr>
          <w:rFonts w:ascii="Arial" w:hAnsi="Arial" w:cs="Arial"/>
          <w:sz w:val="24"/>
          <w:szCs w:val="24"/>
        </w:rPr>
      </w:pPr>
      <w:r>
        <w:rPr>
          <w:rFonts w:ascii="Arial" w:hAnsi="Arial" w:cs="Arial"/>
          <w:sz w:val="24"/>
          <w:szCs w:val="24"/>
        </w:rPr>
        <w:t xml:space="preserve">Consequently, the CCG has commissioned </w:t>
      </w:r>
      <w:r w:rsidR="0039645A">
        <w:rPr>
          <w:rFonts w:ascii="Arial" w:hAnsi="Arial" w:cs="Arial"/>
          <w:sz w:val="24"/>
          <w:szCs w:val="24"/>
        </w:rPr>
        <w:t>Kingfisher Treasure Seekers Ltd (KFTS)</w:t>
      </w:r>
      <w:r>
        <w:rPr>
          <w:rFonts w:ascii="Arial" w:hAnsi="Arial" w:cs="Arial"/>
          <w:sz w:val="24"/>
          <w:szCs w:val="24"/>
        </w:rPr>
        <w:t xml:space="preserve">, </w:t>
      </w:r>
      <w:r w:rsidRPr="007E61B1">
        <w:rPr>
          <w:rFonts w:ascii="Arial" w:hAnsi="Arial" w:cs="Arial"/>
          <w:sz w:val="24"/>
          <w:szCs w:val="24"/>
        </w:rPr>
        <w:t>a local voluntary and community sector organisation</w:t>
      </w:r>
      <w:r>
        <w:rPr>
          <w:rFonts w:ascii="Arial" w:hAnsi="Arial" w:cs="Arial"/>
          <w:sz w:val="24"/>
          <w:szCs w:val="24"/>
        </w:rPr>
        <w:t xml:space="preserve">, to </w:t>
      </w:r>
      <w:r w:rsidRPr="007E61B1">
        <w:rPr>
          <w:rFonts w:ascii="Arial" w:hAnsi="Arial" w:cs="Arial"/>
          <w:sz w:val="24"/>
          <w:szCs w:val="24"/>
        </w:rPr>
        <w:t xml:space="preserve">run a pilot of </w:t>
      </w:r>
      <w:proofErr w:type="gramStart"/>
      <w:r w:rsidRPr="007E61B1">
        <w:rPr>
          <w:rFonts w:ascii="Arial" w:hAnsi="Arial" w:cs="Arial"/>
          <w:sz w:val="24"/>
          <w:szCs w:val="24"/>
        </w:rPr>
        <w:t>a  café</w:t>
      </w:r>
      <w:proofErr w:type="gramEnd"/>
      <w:r w:rsidRPr="007E61B1">
        <w:rPr>
          <w:rFonts w:ascii="Arial" w:hAnsi="Arial" w:cs="Arial"/>
          <w:sz w:val="24"/>
          <w:szCs w:val="24"/>
        </w:rPr>
        <w:t xml:space="preserve"> for adults in Gloucestershire aged 18+ with mental health needs</w:t>
      </w:r>
      <w:r w:rsidR="00A411FB">
        <w:rPr>
          <w:rFonts w:ascii="Arial" w:hAnsi="Arial" w:cs="Arial"/>
          <w:sz w:val="24"/>
          <w:szCs w:val="24"/>
        </w:rPr>
        <w:t xml:space="preserve"> including those at risk of crisis</w:t>
      </w:r>
      <w:r w:rsidRPr="007E61B1">
        <w:rPr>
          <w:rFonts w:ascii="Arial" w:hAnsi="Arial" w:cs="Arial"/>
          <w:sz w:val="24"/>
          <w:szCs w:val="24"/>
        </w:rPr>
        <w:t xml:space="preserve">. The café provides a viable alternative for individuals with mental health issues who require immediate support and advice. </w:t>
      </w:r>
    </w:p>
    <w:p w:rsidR="007E61B1" w:rsidRPr="007E61B1" w:rsidRDefault="007E61B1" w:rsidP="007E61B1">
      <w:pPr>
        <w:rPr>
          <w:rFonts w:ascii="Arial" w:hAnsi="Arial" w:cs="Arial"/>
          <w:sz w:val="24"/>
          <w:szCs w:val="24"/>
        </w:rPr>
      </w:pPr>
      <w:r w:rsidRPr="007E61B1">
        <w:rPr>
          <w:rFonts w:ascii="Arial" w:hAnsi="Arial" w:cs="Arial"/>
          <w:sz w:val="24"/>
          <w:szCs w:val="24"/>
        </w:rPr>
        <w:t xml:space="preserve">The </w:t>
      </w:r>
      <w:r>
        <w:rPr>
          <w:rFonts w:ascii="Arial" w:hAnsi="Arial" w:cs="Arial"/>
          <w:sz w:val="24"/>
          <w:szCs w:val="24"/>
        </w:rPr>
        <w:t xml:space="preserve">café provides the </w:t>
      </w:r>
      <w:r w:rsidRPr="007E61B1">
        <w:rPr>
          <w:rFonts w:ascii="Arial" w:hAnsi="Arial" w:cs="Arial"/>
          <w:sz w:val="24"/>
          <w:szCs w:val="24"/>
        </w:rPr>
        <w:t>following:</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An informal, non-clinical environment offering a range of hot and cold drinks, offering support from trained staff and volunteers as well as social interaction and peer support</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 xml:space="preserve">An open, drop in support style where individuals can either seek immediate support or just enjoy the environment seeking help when required </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 xml:space="preserve">365 day, 7 day a week support and advice for those with MH needs between 6pm and 11pm </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Low level interventions and support, either in isolation, in combination with other therapies or as a step down from other services</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Access to additional support groups/activities during the day where appropriate</w:t>
      </w:r>
    </w:p>
    <w:p w:rsidR="007E61B1" w:rsidRPr="007E61B1" w:rsidRDefault="007E61B1" w:rsidP="007E61B1">
      <w:pPr>
        <w:pStyle w:val="ListParagraph"/>
        <w:numPr>
          <w:ilvl w:val="0"/>
          <w:numId w:val="31"/>
        </w:numPr>
        <w:ind w:left="1134" w:hanging="414"/>
        <w:rPr>
          <w:rFonts w:ascii="Arial" w:hAnsi="Arial" w:cs="Arial"/>
          <w:sz w:val="24"/>
          <w:szCs w:val="24"/>
        </w:rPr>
      </w:pPr>
      <w:r w:rsidRPr="007E61B1">
        <w:rPr>
          <w:rFonts w:ascii="Arial" w:hAnsi="Arial" w:cs="Arial"/>
          <w:sz w:val="24"/>
          <w:szCs w:val="24"/>
        </w:rPr>
        <w:t>Transfer protocols where necessary into more intensive care and close working links with both 2gether NHS Foundation Trust and the ED department at Gloucestershire Hospitals NHS Foundation Trust</w:t>
      </w:r>
    </w:p>
    <w:p w:rsidR="0039645A" w:rsidRDefault="007E61B1" w:rsidP="007E61B1">
      <w:pPr>
        <w:rPr>
          <w:rFonts w:ascii="Arial" w:hAnsi="Arial" w:cs="Arial"/>
          <w:sz w:val="24"/>
          <w:szCs w:val="24"/>
        </w:rPr>
      </w:pPr>
      <w:r w:rsidRPr="007E61B1">
        <w:rPr>
          <w:rFonts w:ascii="Arial" w:hAnsi="Arial" w:cs="Arial"/>
          <w:sz w:val="24"/>
          <w:szCs w:val="24"/>
        </w:rPr>
        <w:t xml:space="preserve">Access to </w:t>
      </w:r>
      <w:r w:rsidR="00A411FB">
        <w:rPr>
          <w:rFonts w:ascii="Arial" w:hAnsi="Arial" w:cs="Arial"/>
          <w:sz w:val="24"/>
          <w:szCs w:val="24"/>
        </w:rPr>
        <w:t>The Cavern</w:t>
      </w:r>
      <w:r w:rsidRPr="007E61B1">
        <w:rPr>
          <w:rFonts w:ascii="Arial" w:hAnsi="Arial" w:cs="Arial"/>
          <w:sz w:val="24"/>
          <w:szCs w:val="24"/>
        </w:rPr>
        <w:t xml:space="preserve"> is either through self-</w:t>
      </w:r>
      <w:proofErr w:type="gramStart"/>
      <w:r w:rsidRPr="007E61B1">
        <w:rPr>
          <w:rFonts w:ascii="Arial" w:hAnsi="Arial" w:cs="Arial"/>
          <w:sz w:val="24"/>
          <w:szCs w:val="24"/>
        </w:rPr>
        <w:t>referral,</w:t>
      </w:r>
      <w:proofErr w:type="gramEnd"/>
      <w:r w:rsidRPr="007E61B1">
        <w:rPr>
          <w:rFonts w:ascii="Arial" w:hAnsi="Arial" w:cs="Arial"/>
          <w:sz w:val="24"/>
          <w:szCs w:val="24"/>
        </w:rPr>
        <w:t xml:space="preserve"> drop in, or through referral from mental health teams, ED, GPs, Social Services and the Police. </w:t>
      </w:r>
    </w:p>
    <w:p w:rsidR="0039645A" w:rsidRDefault="0039645A" w:rsidP="007E61B1">
      <w:pPr>
        <w:rPr>
          <w:rFonts w:ascii="Arial" w:hAnsi="Arial" w:cs="Arial"/>
          <w:sz w:val="24"/>
          <w:szCs w:val="24"/>
        </w:rPr>
      </w:pPr>
    </w:p>
    <w:p w:rsidR="0039645A" w:rsidRDefault="0039645A" w:rsidP="007E61B1">
      <w:pPr>
        <w:rPr>
          <w:rFonts w:ascii="Arial" w:hAnsi="Arial" w:cs="Arial"/>
          <w:sz w:val="24"/>
          <w:szCs w:val="24"/>
        </w:rPr>
      </w:pPr>
    </w:p>
    <w:p w:rsidR="0039645A" w:rsidRDefault="0039645A" w:rsidP="007E61B1">
      <w:pPr>
        <w:rPr>
          <w:rFonts w:ascii="Arial" w:hAnsi="Arial" w:cs="Arial"/>
          <w:sz w:val="24"/>
          <w:szCs w:val="24"/>
        </w:rPr>
      </w:pPr>
    </w:p>
    <w:p w:rsidR="0039645A" w:rsidRDefault="0039645A" w:rsidP="0039645A">
      <w:pPr>
        <w:ind w:left="426" w:hanging="426"/>
        <w:rPr>
          <w:rFonts w:ascii="Arial" w:hAnsi="Arial" w:cs="Arial"/>
          <w:b/>
          <w:sz w:val="24"/>
          <w:szCs w:val="24"/>
        </w:rPr>
      </w:pPr>
      <w:r>
        <w:rPr>
          <w:rFonts w:ascii="Arial" w:hAnsi="Arial" w:cs="Arial"/>
          <w:b/>
          <w:sz w:val="24"/>
          <w:szCs w:val="24"/>
        </w:rPr>
        <w:lastRenderedPageBreak/>
        <w:t>2.2</w:t>
      </w:r>
      <w:r>
        <w:rPr>
          <w:rFonts w:ascii="Arial" w:hAnsi="Arial" w:cs="Arial"/>
          <w:b/>
          <w:sz w:val="24"/>
          <w:szCs w:val="24"/>
        </w:rPr>
        <w:tab/>
        <w:t>Local Engagement</w:t>
      </w:r>
    </w:p>
    <w:p w:rsidR="00BA44C1" w:rsidRDefault="007E61B1" w:rsidP="007E61B1">
      <w:pPr>
        <w:rPr>
          <w:rFonts w:ascii="Arial" w:hAnsi="Arial" w:cs="Arial"/>
          <w:sz w:val="24"/>
          <w:szCs w:val="24"/>
        </w:rPr>
      </w:pPr>
      <w:r w:rsidRPr="007E61B1">
        <w:rPr>
          <w:rFonts w:ascii="Arial" w:hAnsi="Arial" w:cs="Arial"/>
          <w:sz w:val="24"/>
          <w:szCs w:val="24"/>
        </w:rPr>
        <w:t>The café has also offered an opportunity to expand and develop third party voluntary and community sector organisations in Gloucestershire, and to build relationships between different organisations.</w:t>
      </w:r>
    </w:p>
    <w:p w:rsidR="00611776" w:rsidRDefault="00611776" w:rsidP="007E61B1">
      <w:pPr>
        <w:rPr>
          <w:rFonts w:ascii="Arial" w:hAnsi="Arial" w:cs="Arial"/>
          <w:sz w:val="24"/>
          <w:szCs w:val="24"/>
        </w:rPr>
      </w:pPr>
      <w:r w:rsidRPr="00611776">
        <w:rPr>
          <w:rFonts w:ascii="Arial" w:hAnsi="Arial" w:cs="Arial"/>
          <w:sz w:val="24"/>
          <w:szCs w:val="24"/>
        </w:rPr>
        <w:t xml:space="preserve">KFTS are working closely with health and social care organisations to ensure the café is promoted and well known. </w:t>
      </w:r>
      <w:r w:rsidR="00BF3403">
        <w:rPr>
          <w:rFonts w:ascii="Arial" w:hAnsi="Arial" w:cs="Arial"/>
          <w:sz w:val="24"/>
          <w:szCs w:val="24"/>
        </w:rPr>
        <w:t>A</w:t>
      </w:r>
      <w:r w:rsidRPr="00611776">
        <w:rPr>
          <w:rFonts w:ascii="Arial" w:hAnsi="Arial" w:cs="Arial"/>
          <w:sz w:val="24"/>
          <w:szCs w:val="24"/>
        </w:rPr>
        <w:t xml:space="preserve"> leaflet that has been distributed to promote this service can be found at </w:t>
      </w:r>
      <w:hyperlink r:id="rId17" w:history="1">
        <w:r w:rsidRPr="00C20A7E">
          <w:rPr>
            <w:rStyle w:val="Hyperlink"/>
            <w:rFonts w:ascii="Arial" w:hAnsi="Arial" w:cs="Arial"/>
            <w:sz w:val="24"/>
            <w:szCs w:val="24"/>
          </w:rPr>
          <w:t>www.kingfishertreasureseekers.com/cavernsupport</w:t>
        </w:r>
      </w:hyperlink>
    </w:p>
    <w:p w:rsidR="00611776" w:rsidRDefault="00611776" w:rsidP="007E61B1">
      <w:pPr>
        <w:rPr>
          <w:rFonts w:ascii="Arial" w:hAnsi="Arial" w:cs="Arial"/>
          <w:sz w:val="24"/>
          <w:szCs w:val="24"/>
        </w:rPr>
      </w:pPr>
      <w:r w:rsidRPr="00611776">
        <w:rPr>
          <w:rFonts w:ascii="Arial" w:hAnsi="Arial" w:cs="Arial"/>
          <w:sz w:val="24"/>
          <w:szCs w:val="24"/>
        </w:rPr>
        <w:t>KFTS have been working closely with Gloucester City GPs to ensure the service is meeting the needs of their patients.</w:t>
      </w:r>
    </w:p>
    <w:p w:rsidR="00611776" w:rsidRDefault="00611776" w:rsidP="007E61B1">
      <w:pPr>
        <w:rPr>
          <w:rFonts w:ascii="Arial" w:hAnsi="Arial" w:cs="Arial"/>
          <w:sz w:val="24"/>
          <w:szCs w:val="24"/>
        </w:rPr>
      </w:pPr>
      <w:r w:rsidRPr="00611776">
        <w:rPr>
          <w:rFonts w:ascii="Arial" w:hAnsi="Arial" w:cs="Arial"/>
          <w:sz w:val="24"/>
          <w:szCs w:val="24"/>
        </w:rPr>
        <w:t>Gloucestershire Clinical Commissioning Group will continue to monitor data coming from the service and from the Police and Gloucestershire NHS Foundation Trust.</w:t>
      </w:r>
    </w:p>
    <w:p w:rsidR="007F27DF" w:rsidRDefault="007F27DF" w:rsidP="007E61B1">
      <w:pPr>
        <w:rPr>
          <w:rFonts w:ascii="Arial" w:hAnsi="Arial" w:cs="Arial"/>
          <w:sz w:val="24"/>
          <w:szCs w:val="24"/>
        </w:rPr>
      </w:pPr>
    </w:p>
    <w:p w:rsidR="0039645A" w:rsidRDefault="007F27DF" w:rsidP="0039645A">
      <w:pPr>
        <w:rPr>
          <w:rFonts w:ascii="Arial" w:hAnsi="Arial" w:cs="Arial"/>
          <w:sz w:val="24"/>
          <w:szCs w:val="24"/>
        </w:rPr>
      </w:pPr>
      <w:r w:rsidRPr="00611776">
        <w:rPr>
          <w:noProof/>
          <w:lang w:eastAsia="en-GB"/>
        </w:rPr>
        <w:drawing>
          <wp:inline distT="0" distB="0" distL="0" distR="0" wp14:anchorId="5C67F603" wp14:editId="1B55C0F6">
            <wp:extent cx="5245152" cy="2924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avern.JPG"/>
                    <pic:cNvPicPr/>
                  </pic:nvPicPr>
                  <pic:blipFill>
                    <a:blip r:embed="rId18">
                      <a:extLst>
                        <a:ext uri="{28A0092B-C50C-407E-A947-70E740481C1C}">
                          <a14:useLocalDpi xmlns:a14="http://schemas.microsoft.com/office/drawing/2010/main" val="0"/>
                        </a:ext>
                      </a:extLst>
                    </a:blip>
                    <a:stretch>
                      <a:fillRect/>
                    </a:stretch>
                  </pic:blipFill>
                  <pic:spPr>
                    <a:xfrm>
                      <a:off x="0" y="0"/>
                      <a:ext cx="5252459" cy="2928248"/>
                    </a:xfrm>
                    <a:prstGeom prst="rect">
                      <a:avLst/>
                    </a:prstGeom>
                  </pic:spPr>
                </pic:pic>
              </a:graphicData>
            </a:graphic>
          </wp:inline>
        </w:drawing>
      </w:r>
    </w:p>
    <w:p w:rsidR="007F27DF" w:rsidRPr="0039645A" w:rsidRDefault="007F27DF" w:rsidP="0039645A">
      <w:pPr>
        <w:rPr>
          <w:rFonts w:ascii="Arial" w:hAnsi="Arial" w:cs="Arial"/>
          <w:sz w:val="24"/>
          <w:szCs w:val="24"/>
        </w:rPr>
      </w:pPr>
    </w:p>
    <w:p w:rsidR="0039645A" w:rsidRDefault="0039645A" w:rsidP="0039645A">
      <w:pPr>
        <w:ind w:left="426" w:hanging="426"/>
        <w:rPr>
          <w:rFonts w:ascii="Arial" w:hAnsi="Arial" w:cs="Arial"/>
          <w:b/>
          <w:sz w:val="24"/>
          <w:szCs w:val="24"/>
        </w:rPr>
      </w:pPr>
      <w:r>
        <w:rPr>
          <w:rFonts w:ascii="Arial" w:hAnsi="Arial" w:cs="Arial"/>
          <w:b/>
          <w:sz w:val="24"/>
          <w:szCs w:val="24"/>
        </w:rPr>
        <w:t>2.3</w:t>
      </w:r>
      <w:r>
        <w:rPr>
          <w:rFonts w:ascii="Arial" w:hAnsi="Arial" w:cs="Arial"/>
          <w:b/>
          <w:sz w:val="24"/>
          <w:szCs w:val="24"/>
        </w:rPr>
        <w:tab/>
        <w:t>Lessons learnt/Outcome</w:t>
      </w:r>
    </w:p>
    <w:p w:rsidR="0039645A" w:rsidRDefault="0039645A" w:rsidP="0039645A">
      <w:pPr>
        <w:rPr>
          <w:rFonts w:ascii="Arial" w:hAnsi="Arial" w:cs="Arial"/>
          <w:sz w:val="24"/>
          <w:szCs w:val="24"/>
        </w:rPr>
      </w:pPr>
      <w:r w:rsidRPr="0039645A">
        <w:rPr>
          <w:rFonts w:ascii="Arial" w:hAnsi="Arial" w:cs="Arial"/>
          <w:sz w:val="24"/>
          <w:szCs w:val="24"/>
        </w:rPr>
        <w:t>The café opened on Monday 11th July 2016 and since opening has received a total of 1248 visits from 354 individuals (as at 30th November 2016).</w:t>
      </w:r>
    </w:p>
    <w:p w:rsidR="0039645A" w:rsidRPr="0039645A" w:rsidRDefault="0039645A" w:rsidP="0039645A">
      <w:pPr>
        <w:rPr>
          <w:rFonts w:ascii="Arial" w:hAnsi="Arial" w:cs="Arial"/>
          <w:sz w:val="24"/>
          <w:szCs w:val="24"/>
        </w:rPr>
      </w:pPr>
      <w:r w:rsidRPr="0039645A">
        <w:rPr>
          <w:rFonts w:ascii="Arial" w:hAnsi="Arial" w:cs="Arial"/>
          <w:sz w:val="24"/>
          <w:szCs w:val="24"/>
        </w:rPr>
        <w:t>The majority of people access the service through self-referral currently, however work is being carried out with GPs in the Gloucester City area, the ED and the 2gether Trust Mental Health Acute Response Service (MHARS) to strengthen relationships with these organisations and ensure that individuals are referred/</w:t>
      </w:r>
      <w:r>
        <w:rPr>
          <w:rFonts w:ascii="Arial" w:hAnsi="Arial" w:cs="Arial"/>
          <w:sz w:val="24"/>
          <w:szCs w:val="24"/>
        </w:rPr>
        <w:t xml:space="preserve"> </w:t>
      </w:r>
      <w:r w:rsidRPr="0039645A">
        <w:rPr>
          <w:rFonts w:ascii="Arial" w:hAnsi="Arial" w:cs="Arial"/>
          <w:sz w:val="24"/>
          <w:szCs w:val="24"/>
        </w:rPr>
        <w:t xml:space="preserve">signposted to the café where appropriate. </w:t>
      </w:r>
    </w:p>
    <w:p w:rsidR="0039645A" w:rsidRPr="0039645A" w:rsidRDefault="0039645A" w:rsidP="0039645A">
      <w:pPr>
        <w:rPr>
          <w:rFonts w:ascii="Arial" w:hAnsi="Arial" w:cs="Arial"/>
          <w:sz w:val="24"/>
          <w:szCs w:val="24"/>
        </w:rPr>
      </w:pPr>
      <w:r w:rsidRPr="0039645A">
        <w:rPr>
          <w:rFonts w:ascii="Arial" w:hAnsi="Arial" w:cs="Arial"/>
          <w:sz w:val="24"/>
          <w:szCs w:val="24"/>
        </w:rPr>
        <w:lastRenderedPageBreak/>
        <w:t>Various reasons are reported by individuals for why they visited the café. The most common reason for attendance is “to talk about current circumstance/events/</w:t>
      </w:r>
      <w:r>
        <w:rPr>
          <w:rFonts w:ascii="Arial" w:hAnsi="Arial" w:cs="Arial"/>
          <w:sz w:val="24"/>
          <w:szCs w:val="24"/>
        </w:rPr>
        <w:t xml:space="preserve"> </w:t>
      </w:r>
      <w:r w:rsidRPr="0039645A">
        <w:rPr>
          <w:rFonts w:ascii="Arial" w:hAnsi="Arial" w:cs="Arial"/>
          <w:sz w:val="24"/>
          <w:szCs w:val="24"/>
        </w:rPr>
        <w:t xml:space="preserve">situations” closely followed by “anxiety” </w:t>
      </w:r>
    </w:p>
    <w:p w:rsidR="0039645A" w:rsidRPr="0039645A" w:rsidRDefault="0039645A" w:rsidP="0039645A">
      <w:pPr>
        <w:rPr>
          <w:rFonts w:ascii="Arial" w:hAnsi="Arial" w:cs="Arial"/>
          <w:sz w:val="24"/>
          <w:szCs w:val="24"/>
        </w:rPr>
      </w:pPr>
      <w:r w:rsidRPr="0039645A">
        <w:rPr>
          <w:rFonts w:ascii="Arial" w:hAnsi="Arial" w:cs="Arial"/>
          <w:sz w:val="24"/>
          <w:szCs w:val="24"/>
        </w:rPr>
        <w:t xml:space="preserve">The average return rate to the café is 5 times per person per month indicating that the service is something that individuals find useful and therefore return to. </w:t>
      </w:r>
    </w:p>
    <w:p w:rsidR="0039645A" w:rsidRDefault="0039645A" w:rsidP="0039645A">
      <w:pPr>
        <w:rPr>
          <w:rFonts w:ascii="Arial" w:hAnsi="Arial" w:cs="Arial"/>
          <w:sz w:val="24"/>
          <w:szCs w:val="24"/>
        </w:rPr>
      </w:pPr>
      <w:r w:rsidRPr="0039645A">
        <w:rPr>
          <w:rFonts w:ascii="Arial" w:hAnsi="Arial" w:cs="Arial"/>
          <w:sz w:val="24"/>
          <w:szCs w:val="24"/>
        </w:rPr>
        <w:t xml:space="preserve">Users are asked to rate their mood from 1 (bad) to 10 (good) upon entering and then leaving the café. Since opening in July 2016, the average mood upon entering the café is rated at 5.79, increasing to 8.05 upon leaving. </w:t>
      </w:r>
    </w:p>
    <w:p w:rsidR="0039645A" w:rsidRPr="0039645A" w:rsidRDefault="0039645A" w:rsidP="0039645A">
      <w:pPr>
        <w:rPr>
          <w:rFonts w:ascii="Arial" w:hAnsi="Arial" w:cs="Arial"/>
          <w:sz w:val="24"/>
          <w:szCs w:val="24"/>
        </w:rPr>
      </w:pPr>
      <w:r w:rsidRPr="0039645A">
        <w:rPr>
          <w:rFonts w:ascii="Arial" w:hAnsi="Arial" w:cs="Arial"/>
          <w:sz w:val="24"/>
          <w:szCs w:val="24"/>
        </w:rPr>
        <w:t xml:space="preserve">As well as rating their mood, users are also asked to rate their satisfaction with the café (1=bad, 10=good). The average score since opening in July is 9.55 indicating that service users are very satisfied with the service. </w:t>
      </w:r>
    </w:p>
    <w:p w:rsidR="0039645A" w:rsidRPr="0039645A" w:rsidRDefault="0039645A" w:rsidP="0039645A">
      <w:pPr>
        <w:rPr>
          <w:rFonts w:ascii="Arial" w:hAnsi="Arial" w:cs="Arial"/>
          <w:sz w:val="24"/>
          <w:szCs w:val="24"/>
        </w:rPr>
      </w:pPr>
      <w:r w:rsidRPr="0039645A">
        <w:rPr>
          <w:rFonts w:ascii="Arial" w:hAnsi="Arial" w:cs="Arial"/>
          <w:sz w:val="24"/>
          <w:szCs w:val="24"/>
        </w:rPr>
        <w:t xml:space="preserve">Kingfisher Treasure Seekers also </w:t>
      </w:r>
      <w:r>
        <w:rPr>
          <w:rFonts w:ascii="Arial" w:hAnsi="Arial" w:cs="Arial"/>
          <w:sz w:val="24"/>
          <w:szCs w:val="24"/>
        </w:rPr>
        <w:t>offer</w:t>
      </w:r>
      <w:r w:rsidRPr="0039645A">
        <w:rPr>
          <w:rFonts w:ascii="Arial" w:hAnsi="Arial" w:cs="Arial"/>
          <w:sz w:val="24"/>
          <w:szCs w:val="24"/>
        </w:rPr>
        <w:t xml:space="preserve"> people </w:t>
      </w:r>
      <w:r>
        <w:rPr>
          <w:rFonts w:ascii="Arial" w:hAnsi="Arial" w:cs="Arial"/>
          <w:sz w:val="24"/>
          <w:szCs w:val="24"/>
        </w:rPr>
        <w:t xml:space="preserve">the opportunity to take part in a range of wider </w:t>
      </w:r>
      <w:r w:rsidRPr="0039645A">
        <w:rPr>
          <w:rFonts w:ascii="Arial" w:hAnsi="Arial" w:cs="Arial"/>
          <w:sz w:val="24"/>
          <w:szCs w:val="24"/>
        </w:rPr>
        <w:t>activities</w:t>
      </w:r>
      <w:r>
        <w:rPr>
          <w:rFonts w:ascii="Arial" w:hAnsi="Arial" w:cs="Arial"/>
          <w:sz w:val="24"/>
          <w:szCs w:val="24"/>
        </w:rPr>
        <w:t>, such as</w:t>
      </w:r>
      <w:r w:rsidRPr="0039645A">
        <w:rPr>
          <w:rFonts w:ascii="Arial" w:hAnsi="Arial" w:cs="Arial"/>
          <w:sz w:val="24"/>
          <w:szCs w:val="24"/>
        </w:rPr>
        <w:t xml:space="preserve"> arts and crafts, singing and dancing</w:t>
      </w:r>
      <w:r>
        <w:rPr>
          <w:rFonts w:ascii="Arial" w:hAnsi="Arial" w:cs="Arial"/>
          <w:sz w:val="24"/>
          <w:szCs w:val="24"/>
        </w:rPr>
        <w:t xml:space="preserve">.  They also </w:t>
      </w:r>
      <w:r w:rsidRPr="0039645A">
        <w:rPr>
          <w:rFonts w:ascii="Arial" w:hAnsi="Arial" w:cs="Arial"/>
          <w:sz w:val="24"/>
          <w:szCs w:val="24"/>
        </w:rPr>
        <w:t xml:space="preserve">help </w:t>
      </w:r>
      <w:r>
        <w:rPr>
          <w:rFonts w:ascii="Arial" w:hAnsi="Arial" w:cs="Arial"/>
          <w:sz w:val="24"/>
          <w:szCs w:val="24"/>
        </w:rPr>
        <w:t>people to</w:t>
      </w:r>
      <w:r w:rsidRPr="0039645A">
        <w:rPr>
          <w:rFonts w:ascii="Arial" w:hAnsi="Arial" w:cs="Arial"/>
          <w:sz w:val="24"/>
          <w:szCs w:val="24"/>
        </w:rPr>
        <w:t xml:space="preserve"> achieve their </w:t>
      </w:r>
      <w:r>
        <w:rPr>
          <w:rFonts w:ascii="Arial" w:hAnsi="Arial" w:cs="Arial"/>
          <w:sz w:val="24"/>
          <w:szCs w:val="24"/>
        </w:rPr>
        <w:t xml:space="preserve">full </w:t>
      </w:r>
      <w:r w:rsidRPr="0039645A">
        <w:rPr>
          <w:rFonts w:ascii="Arial" w:hAnsi="Arial" w:cs="Arial"/>
          <w:sz w:val="24"/>
          <w:szCs w:val="24"/>
        </w:rPr>
        <w:t>potential</w:t>
      </w:r>
      <w:r>
        <w:rPr>
          <w:rFonts w:ascii="Arial" w:hAnsi="Arial" w:cs="Arial"/>
          <w:sz w:val="24"/>
          <w:szCs w:val="24"/>
        </w:rPr>
        <w:t xml:space="preserve"> by providing opportunities</w:t>
      </w:r>
      <w:r w:rsidRPr="0039645A">
        <w:rPr>
          <w:rFonts w:ascii="Arial" w:hAnsi="Arial" w:cs="Arial"/>
          <w:sz w:val="24"/>
          <w:szCs w:val="24"/>
        </w:rPr>
        <w:t xml:space="preserve"> to gain valuable employment skills and work experience. One individual with </w:t>
      </w:r>
      <w:r>
        <w:rPr>
          <w:rFonts w:ascii="Arial" w:hAnsi="Arial" w:cs="Arial"/>
          <w:sz w:val="24"/>
          <w:szCs w:val="24"/>
        </w:rPr>
        <w:t xml:space="preserve">a </w:t>
      </w:r>
      <w:r w:rsidRPr="0039645A">
        <w:rPr>
          <w:rFonts w:ascii="Arial" w:hAnsi="Arial" w:cs="Arial"/>
          <w:sz w:val="24"/>
          <w:szCs w:val="24"/>
        </w:rPr>
        <w:t xml:space="preserve">personality disorder who had previously been a frequent attender at ED is now visiting the café on a daily basis and is due to undertake work experience </w:t>
      </w:r>
      <w:r w:rsidR="00500A4B">
        <w:rPr>
          <w:rFonts w:ascii="Arial" w:hAnsi="Arial" w:cs="Arial"/>
          <w:sz w:val="24"/>
          <w:szCs w:val="24"/>
        </w:rPr>
        <w:t xml:space="preserve">in early 2017. She hopes this </w:t>
      </w:r>
      <w:r w:rsidRPr="0039645A">
        <w:rPr>
          <w:rFonts w:ascii="Arial" w:hAnsi="Arial" w:cs="Arial"/>
          <w:sz w:val="24"/>
          <w:szCs w:val="24"/>
        </w:rPr>
        <w:t xml:space="preserve">will </w:t>
      </w:r>
      <w:r w:rsidR="00500A4B">
        <w:rPr>
          <w:rFonts w:ascii="Arial" w:hAnsi="Arial" w:cs="Arial"/>
          <w:sz w:val="24"/>
          <w:szCs w:val="24"/>
        </w:rPr>
        <w:t xml:space="preserve">help her in </w:t>
      </w:r>
      <w:r w:rsidRPr="0039645A">
        <w:rPr>
          <w:rFonts w:ascii="Arial" w:hAnsi="Arial" w:cs="Arial"/>
          <w:sz w:val="24"/>
          <w:szCs w:val="24"/>
        </w:rPr>
        <w:t xml:space="preserve">getting back into work when she is ready. </w:t>
      </w:r>
    </w:p>
    <w:p w:rsidR="0039645A" w:rsidRPr="0039645A" w:rsidRDefault="00500A4B" w:rsidP="0039645A">
      <w:pPr>
        <w:rPr>
          <w:rFonts w:ascii="Arial" w:hAnsi="Arial" w:cs="Arial"/>
          <w:sz w:val="24"/>
          <w:szCs w:val="24"/>
        </w:rPr>
      </w:pPr>
      <w:r w:rsidRPr="0039645A">
        <w:rPr>
          <w:rFonts w:ascii="Arial" w:hAnsi="Arial" w:cs="Arial"/>
          <w:sz w:val="24"/>
          <w:szCs w:val="24"/>
        </w:rPr>
        <w:t xml:space="preserve">Attendance data from the ED </w:t>
      </w:r>
      <w:r w:rsidR="007F27DF">
        <w:rPr>
          <w:rFonts w:ascii="Arial" w:hAnsi="Arial" w:cs="Arial"/>
          <w:sz w:val="24"/>
          <w:szCs w:val="24"/>
        </w:rPr>
        <w:t xml:space="preserve">has shown a recent reduction in the number of patients attending with a mental health issue.  </w:t>
      </w:r>
      <w:r w:rsidRPr="00500A4B">
        <w:rPr>
          <w:rFonts w:ascii="Arial" w:hAnsi="Arial" w:cs="Arial"/>
          <w:sz w:val="24"/>
          <w:szCs w:val="24"/>
        </w:rPr>
        <w:t xml:space="preserve">Whilst it is not possible to directly attribute </w:t>
      </w:r>
      <w:r>
        <w:rPr>
          <w:rFonts w:ascii="Arial" w:hAnsi="Arial" w:cs="Arial"/>
          <w:sz w:val="24"/>
          <w:szCs w:val="24"/>
        </w:rPr>
        <w:t>this reduction</w:t>
      </w:r>
      <w:r w:rsidRPr="00500A4B">
        <w:rPr>
          <w:rFonts w:ascii="Arial" w:hAnsi="Arial" w:cs="Arial"/>
          <w:sz w:val="24"/>
          <w:szCs w:val="24"/>
        </w:rPr>
        <w:t xml:space="preserve"> to the café, there is evidence from elsewhere that frequent attenders at ED (and other MH services in Gloucestershire) are now start</w:t>
      </w:r>
      <w:r w:rsidR="007F27DF">
        <w:rPr>
          <w:rFonts w:ascii="Arial" w:hAnsi="Arial" w:cs="Arial"/>
          <w:sz w:val="24"/>
          <w:szCs w:val="24"/>
        </w:rPr>
        <w:t>ing</w:t>
      </w:r>
      <w:r w:rsidRPr="00500A4B">
        <w:rPr>
          <w:rFonts w:ascii="Arial" w:hAnsi="Arial" w:cs="Arial"/>
          <w:sz w:val="24"/>
          <w:szCs w:val="24"/>
        </w:rPr>
        <w:t xml:space="preserve"> to visit the café as an alternative</w:t>
      </w:r>
      <w:r w:rsidR="007F27DF">
        <w:rPr>
          <w:rFonts w:ascii="Arial" w:hAnsi="Arial" w:cs="Arial"/>
          <w:sz w:val="24"/>
          <w:szCs w:val="24"/>
        </w:rPr>
        <w:t xml:space="preserve">.  </w:t>
      </w:r>
      <w:r>
        <w:rPr>
          <w:rFonts w:ascii="Arial" w:hAnsi="Arial" w:cs="Arial"/>
          <w:sz w:val="24"/>
          <w:szCs w:val="24"/>
        </w:rPr>
        <w:t>.</w:t>
      </w:r>
    </w:p>
    <w:p w:rsidR="0039645A" w:rsidRDefault="00500A4B" w:rsidP="0039645A">
      <w:pPr>
        <w:rPr>
          <w:rFonts w:ascii="Arial" w:hAnsi="Arial" w:cs="Arial"/>
          <w:sz w:val="24"/>
          <w:szCs w:val="24"/>
        </w:rPr>
      </w:pPr>
      <w:r>
        <w:rPr>
          <w:rFonts w:ascii="Arial" w:hAnsi="Arial" w:cs="Arial"/>
          <w:sz w:val="24"/>
          <w:szCs w:val="24"/>
        </w:rPr>
        <w:t>We</w:t>
      </w:r>
      <w:r w:rsidR="0039645A" w:rsidRPr="0039645A">
        <w:rPr>
          <w:rFonts w:ascii="Arial" w:hAnsi="Arial" w:cs="Arial"/>
          <w:sz w:val="24"/>
          <w:szCs w:val="24"/>
        </w:rPr>
        <w:t xml:space="preserve"> have reports from professionals working with individuals known to multiple services across Gloucestershire that the café has had a positive impact</w:t>
      </w:r>
      <w:r>
        <w:rPr>
          <w:rFonts w:ascii="Arial" w:hAnsi="Arial" w:cs="Arial"/>
          <w:sz w:val="24"/>
          <w:szCs w:val="24"/>
        </w:rPr>
        <w:t>.  An example of this involved an individual who has a history of frequent detainment under S136</w:t>
      </w:r>
      <w:r w:rsidR="0039645A" w:rsidRPr="0039645A">
        <w:rPr>
          <w:rFonts w:ascii="Arial" w:hAnsi="Arial" w:cs="Arial"/>
          <w:sz w:val="24"/>
          <w:szCs w:val="24"/>
        </w:rPr>
        <w:t xml:space="preserve">. </w:t>
      </w:r>
      <w:r>
        <w:rPr>
          <w:rFonts w:ascii="Arial" w:hAnsi="Arial" w:cs="Arial"/>
          <w:sz w:val="24"/>
          <w:szCs w:val="24"/>
        </w:rPr>
        <w:t>Since becoming a regular vis</w:t>
      </w:r>
      <w:r w:rsidR="0039645A" w:rsidRPr="0039645A">
        <w:rPr>
          <w:rFonts w:ascii="Arial" w:hAnsi="Arial" w:cs="Arial"/>
          <w:sz w:val="24"/>
          <w:szCs w:val="24"/>
        </w:rPr>
        <w:t>it</w:t>
      </w:r>
      <w:r>
        <w:rPr>
          <w:rFonts w:ascii="Arial" w:hAnsi="Arial" w:cs="Arial"/>
          <w:sz w:val="24"/>
          <w:szCs w:val="24"/>
        </w:rPr>
        <w:t>or to</w:t>
      </w:r>
      <w:r w:rsidR="0039645A" w:rsidRPr="0039645A">
        <w:rPr>
          <w:rFonts w:ascii="Arial" w:hAnsi="Arial" w:cs="Arial"/>
          <w:sz w:val="24"/>
          <w:szCs w:val="24"/>
        </w:rPr>
        <w:t xml:space="preserve"> the café</w:t>
      </w:r>
      <w:r>
        <w:rPr>
          <w:rFonts w:ascii="Arial" w:hAnsi="Arial" w:cs="Arial"/>
          <w:sz w:val="24"/>
          <w:szCs w:val="24"/>
        </w:rPr>
        <w:t xml:space="preserve">, they have </w:t>
      </w:r>
      <w:r w:rsidR="0039645A" w:rsidRPr="0039645A">
        <w:rPr>
          <w:rFonts w:ascii="Arial" w:hAnsi="Arial" w:cs="Arial"/>
          <w:sz w:val="24"/>
          <w:szCs w:val="24"/>
        </w:rPr>
        <w:t xml:space="preserve">not been detained under </w:t>
      </w:r>
      <w:r>
        <w:rPr>
          <w:rFonts w:ascii="Arial" w:hAnsi="Arial" w:cs="Arial"/>
          <w:sz w:val="24"/>
          <w:szCs w:val="24"/>
        </w:rPr>
        <w:t>S1</w:t>
      </w:r>
      <w:r w:rsidR="0039645A" w:rsidRPr="0039645A">
        <w:rPr>
          <w:rFonts w:ascii="Arial" w:hAnsi="Arial" w:cs="Arial"/>
          <w:sz w:val="24"/>
          <w:szCs w:val="24"/>
        </w:rPr>
        <w:t xml:space="preserve">36 for a significant period. </w:t>
      </w:r>
    </w:p>
    <w:p w:rsidR="007F27DF" w:rsidRDefault="007F27DF" w:rsidP="0039645A">
      <w:pPr>
        <w:rPr>
          <w:rFonts w:ascii="Arial" w:hAnsi="Arial" w:cs="Arial"/>
          <w:sz w:val="24"/>
          <w:szCs w:val="24"/>
        </w:rPr>
      </w:pPr>
      <w:r>
        <w:rPr>
          <w:rFonts w:ascii="Arial" w:hAnsi="Arial" w:cs="Arial"/>
          <w:sz w:val="24"/>
          <w:szCs w:val="24"/>
        </w:rPr>
        <w:t xml:space="preserve">Reports show that the café is also </w:t>
      </w:r>
      <w:r w:rsidRPr="0039645A">
        <w:rPr>
          <w:rFonts w:ascii="Arial" w:hAnsi="Arial" w:cs="Arial"/>
          <w:sz w:val="24"/>
          <w:szCs w:val="24"/>
        </w:rPr>
        <w:t xml:space="preserve">having a positive impact on </w:t>
      </w:r>
      <w:r>
        <w:rPr>
          <w:rFonts w:ascii="Arial" w:hAnsi="Arial" w:cs="Arial"/>
          <w:sz w:val="24"/>
          <w:szCs w:val="24"/>
        </w:rPr>
        <w:t>partnership</w:t>
      </w:r>
      <w:r w:rsidRPr="0039645A">
        <w:rPr>
          <w:rFonts w:ascii="Arial" w:hAnsi="Arial" w:cs="Arial"/>
          <w:sz w:val="24"/>
          <w:szCs w:val="24"/>
        </w:rPr>
        <w:t xml:space="preserve"> working </w:t>
      </w:r>
      <w:r>
        <w:rPr>
          <w:rFonts w:ascii="Arial" w:hAnsi="Arial" w:cs="Arial"/>
          <w:sz w:val="24"/>
          <w:szCs w:val="24"/>
        </w:rPr>
        <w:t xml:space="preserve">across </w:t>
      </w:r>
      <w:r w:rsidRPr="0039645A">
        <w:rPr>
          <w:rFonts w:ascii="Arial" w:hAnsi="Arial" w:cs="Arial"/>
          <w:sz w:val="24"/>
          <w:szCs w:val="24"/>
        </w:rPr>
        <w:t xml:space="preserve">the café, </w:t>
      </w:r>
      <w:r>
        <w:rPr>
          <w:rFonts w:ascii="Arial" w:hAnsi="Arial" w:cs="Arial"/>
          <w:sz w:val="24"/>
          <w:szCs w:val="24"/>
        </w:rPr>
        <w:t xml:space="preserve">health services and the </w:t>
      </w:r>
      <w:r w:rsidRPr="0039645A">
        <w:rPr>
          <w:rFonts w:ascii="Arial" w:hAnsi="Arial" w:cs="Arial"/>
          <w:sz w:val="24"/>
          <w:szCs w:val="24"/>
        </w:rPr>
        <w:t>police</w:t>
      </w:r>
    </w:p>
    <w:p w:rsidR="00611776" w:rsidRPr="00611776" w:rsidRDefault="00611776" w:rsidP="007F27DF">
      <w:pPr>
        <w:rPr>
          <w:rFonts w:ascii="Arial" w:hAnsi="Arial" w:cs="Arial"/>
          <w:sz w:val="24"/>
          <w:szCs w:val="24"/>
        </w:rPr>
      </w:pPr>
      <w:r w:rsidRPr="00611776">
        <w:rPr>
          <w:rFonts w:ascii="Arial" w:hAnsi="Arial" w:cs="Arial"/>
          <w:sz w:val="24"/>
          <w:szCs w:val="24"/>
        </w:rPr>
        <w:t xml:space="preserve">A “real life story” from </w:t>
      </w:r>
      <w:r w:rsidR="007F27DF">
        <w:rPr>
          <w:rFonts w:ascii="Arial" w:hAnsi="Arial" w:cs="Arial"/>
          <w:sz w:val="24"/>
          <w:szCs w:val="24"/>
        </w:rPr>
        <w:t xml:space="preserve">one of </w:t>
      </w:r>
      <w:r w:rsidRPr="00611776">
        <w:rPr>
          <w:rFonts w:ascii="Arial" w:hAnsi="Arial" w:cs="Arial"/>
          <w:sz w:val="24"/>
          <w:szCs w:val="24"/>
        </w:rPr>
        <w:t>the users of this service can be found at:</w:t>
      </w:r>
    </w:p>
    <w:p w:rsidR="00611776" w:rsidRDefault="00F5308C" w:rsidP="007F27DF">
      <w:pPr>
        <w:rPr>
          <w:rStyle w:val="Hyperlink"/>
          <w:rFonts w:ascii="Arial" w:hAnsi="Arial" w:cs="Arial"/>
          <w:sz w:val="24"/>
          <w:szCs w:val="24"/>
        </w:rPr>
      </w:pPr>
      <w:hyperlink r:id="rId19" w:history="1">
        <w:r w:rsidR="00611776" w:rsidRPr="00C20A7E">
          <w:rPr>
            <w:rStyle w:val="Hyperlink"/>
            <w:rFonts w:ascii="Arial" w:hAnsi="Arial" w:cs="Arial"/>
            <w:sz w:val="24"/>
            <w:szCs w:val="24"/>
          </w:rPr>
          <w:t>https://youtu.be/GcoDfk5TeFw</w:t>
        </w:r>
      </w:hyperlink>
    </w:p>
    <w:p w:rsidR="0039645A" w:rsidRDefault="0039645A" w:rsidP="007E61B1">
      <w:pPr>
        <w:rPr>
          <w:rStyle w:val="Hyperlink"/>
          <w:rFonts w:ascii="Arial" w:hAnsi="Arial" w:cs="Arial"/>
          <w:sz w:val="24"/>
          <w:szCs w:val="24"/>
        </w:rPr>
      </w:pPr>
    </w:p>
    <w:p w:rsidR="007F27DF" w:rsidRDefault="007F27DF" w:rsidP="007F27DF">
      <w:pPr>
        <w:ind w:left="426" w:hanging="426"/>
        <w:rPr>
          <w:rFonts w:ascii="Arial" w:hAnsi="Arial" w:cs="Arial"/>
          <w:b/>
          <w:sz w:val="24"/>
          <w:szCs w:val="24"/>
        </w:rPr>
      </w:pPr>
      <w:r>
        <w:rPr>
          <w:rFonts w:ascii="Arial" w:hAnsi="Arial" w:cs="Arial"/>
          <w:b/>
          <w:sz w:val="24"/>
          <w:szCs w:val="24"/>
        </w:rPr>
        <w:t>2.4</w:t>
      </w:r>
      <w:r>
        <w:rPr>
          <w:rFonts w:ascii="Arial" w:hAnsi="Arial" w:cs="Arial"/>
          <w:b/>
          <w:sz w:val="24"/>
          <w:szCs w:val="24"/>
        </w:rPr>
        <w:tab/>
        <w:t>Next steps</w:t>
      </w:r>
    </w:p>
    <w:p w:rsidR="00611776" w:rsidRPr="00611776" w:rsidRDefault="00611776" w:rsidP="00611776">
      <w:r w:rsidRPr="00611776">
        <w:rPr>
          <w:rFonts w:ascii="Arial" w:hAnsi="Arial" w:cs="Arial"/>
          <w:sz w:val="24"/>
          <w:szCs w:val="24"/>
        </w:rPr>
        <w:t>At the end of the twelve month pilot period, an evaluation will be carried out to establish the efficacy of the service, both in terms of attendance at other services and service user experience.</w:t>
      </w:r>
      <w:r w:rsidR="007F27DF">
        <w:rPr>
          <w:rFonts w:ascii="Arial" w:hAnsi="Arial" w:cs="Arial"/>
          <w:sz w:val="24"/>
          <w:szCs w:val="24"/>
        </w:rPr>
        <w:t xml:space="preserve"> </w:t>
      </w:r>
    </w:p>
    <w:sectPr w:rsidR="00611776" w:rsidRPr="00611776" w:rsidSect="005108E3">
      <w:headerReference w:type="default" r:id="rId20"/>
      <w:footerReference w:type="default" r:id="rId21"/>
      <w:pgSz w:w="11906" w:h="16838"/>
      <w:pgMar w:top="1134"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C5" w:rsidRDefault="00005FC5" w:rsidP="00317B11">
      <w:pPr>
        <w:spacing w:after="0" w:line="240" w:lineRule="auto"/>
      </w:pPr>
      <w:r>
        <w:separator/>
      </w:r>
    </w:p>
  </w:endnote>
  <w:endnote w:type="continuationSeparator" w:id="0">
    <w:p w:rsidR="00005FC5" w:rsidRDefault="00005FC5" w:rsidP="00317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669972"/>
      <w:docPartObj>
        <w:docPartGallery w:val="Page Numbers (Bottom of Page)"/>
        <w:docPartUnique/>
      </w:docPartObj>
    </w:sdtPr>
    <w:sdtEndPr>
      <w:rPr>
        <w:noProof/>
      </w:rPr>
    </w:sdtEndPr>
    <w:sdtContent>
      <w:p w:rsidR="00503592" w:rsidRDefault="00402454" w:rsidP="00CB06FE">
        <w:pPr>
          <w:pStyle w:val="Footer"/>
          <w:jc w:val="right"/>
        </w:pPr>
        <w:r>
          <w:fldChar w:fldCharType="begin"/>
        </w:r>
        <w:r>
          <w:instrText xml:space="preserve"> PAGE   \* MERGEFORMAT </w:instrText>
        </w:r>
        <w:r>
          <w:fldChar w:fldCharType="separate"/>
        </w:r>
        <w:r w:rsidR="00F5308C">
          <w:rPr>
            <w:noProof/>
          </w:rPr>
          <w:t>3</w:t>
        </w:r>
        <w:r>
          <w:rPr>
            <w:noProof/>
          </w:rPr>
          <w:fldChar w:fldCharType="end"/>
        </w:r>
      </w:p>
    </w:sdtContent>
  </w:sdt>
  <w:p w:rsidR="00503592" w:rsidRDefault="00F5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C5" w:rsidRDefault="00005FC5" w:rsidP="00317B11">
      <w:pPr>
        <w:spacing w:after="0" w:line="240" w:lineRule="auto"/>
      </w:pPr>
      <w:r>
        <w:separator/>
      </w:r>
    </w:p>
  </w:footnote>
  <w:footnote w:type="continuationSeparator" w:id="0">
    <w:p w:rsidR="00005FC5" w:rsidRDefault="00005FC5" w:rsidP="00317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92" w:rsidRDefault="00F5308C">
    <w:pPr>
      <w:pStyle w:val="Header"/>
      <w:jc w:val="center"/>
    </w:pPr>
  </w:p>
  <w:p w:rsidR="00503592" w:rsidRDefault="00F530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985"/>
    <w:multiLevelType w:val="hybridMultilevel"/>
    <w:tmpl w:val="05EC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B28B9"/>
    <w:multiLevelType w:val="hybridMultilevel"/>
    <w:tmpl w:val="61683298"/>
    <w:lvl w:ilvl="0" w:tplc="2AA2113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2558AD"/>
    <w:multiLevelType w:val="hybridMultilevel"/>
    <w:tmpl w:val="4B708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0684E"/>
    <w:multiLevelType w:val="hybridMultilevel"/>
    <w:tmpl w:val="6AF2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926FD"/>
    <w:multiLevelType w:val="hybridMultilevel"/>
    <w:tmpl w:val="D8467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7C2C14"/>
    <w:multiLevelType w:val="hybridMultilevel"/>
    <w:tmpl w:val="4F9C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A7F3C2F"/>
    <w:multiLevelType w:val="hybridMultilevel"/>
    <w:tmpl w:val="2CEC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C1213E"/>
    <w:multiLevelType w:val="hybridMultilevel"/>
    <w:tmpl w:val="FDEE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B837A3"/>
    <w:multiLevelType w:val="hybridMultilevel"/>
    <w:tmpl w:val="426EDE8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04F2A56"/>
    <w:multiLevelType w:val="hybridMultilevel"/>
    <w:tmpl w:val="C97A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FC3954"/>
    <w:multiLevelType w:val="hybridMultilevel"/>
    <w:tmpl w:val="05D63ADE"/>
    <w:lvl w:ilvl="0" w:tplc="4F2EF98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406B6D"/>
    <w:multiLevelType w:val="hybridMultilevel"/>
    <w:tmpl w:val="5914F1BE"/>
    <w:lvl w:ilvl="0" w:tplc="1734995E">
      <w:start w:val="7"/>
      <w:numFmt w:val="decimal"/>
      <w:lvlText w:val="%1."/>
      <w:lvlJc w:val="left"/>
      <w:pPr>
        <w:ind w:left="360" w:hanging="360"/>
      </w:pPr>
      <w:rPr>
        <w:rFonts w:hint="default"/>
      </w:rPr>
    </w:lvl>
    <w:lvl w:ilvl="1" w:tplc="CF7425A8">
      <w:start w:val="61"/>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0D5855"/>
    <w:multiLevelType w:val="hybridMultilevel"/>
    <w:tmpl w:val="91FE458A"/>
    <w:lvl w:ilvl="0" w:tplc="08090001">
      <w:start w:val="1"/>
      <w:numFmt w:val="bullet"/>
      <w:lvlText w:val=""/>
      <w:lvlJc w:val="left"/>
      <w:pPr>
        <w:ind w:left="720" w:hanging="360"/>
      </w:pPr>
      <w:rPr>
        <w:rFonts w:ascii="Symbol" w:hAnsi="Symbol" w:hint="default"/>
      </w:rPr>
    </w:lvl>
    <w:lvl w:ilvl="1" w:tplc="15F4915E">
      <w:start w:val="1"/>
      <w:numFmt w:val="bullet"/>
      <w:lvlText w:val="­"/>
      <w:lvlJc w:val="left"/>
      <w:pPr>
        <w:ind w:left="1440" w:hanging="360"/>
      </w:pPr>
      <w:rPr>
        <w:rFonts w:ascii="Courier New" w:hAnsi="Courier New" w:hint="default"/>
      </w:rPr>
    </w:lvl>
    <w:lvl w:ilvl="2" w:tplc="38CC5D9A">
      <w:start w:val="61"/>
      <w:numFmt w:val="bullet"/>
      <w:lvlText w:val="•"/>
      <w:lvlJc w:val="left"/>
      <w:pPr>
        <w:ind w:left="2520" w:hanging="72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63E1D"/>
    <w:multiLevelType w:val="hybridMultilevel"/>
    <w:tmpl w:val="4524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440D59"/>
    <w:multiLevelType w:val="hybridMultilevel"/>
    <w:tmpl w:val="8E4A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95763B"/>
    <w:multiLevelType w:val="hybridMultilevel"/>
    <w:tmpl w:val="A336B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320CCE"/>
    <w:multiLevelType w:val="hybridMultilevel"/>
    <w:tmpl w:val="F0408B72"/>
    <w:lvl w:ilvl="0" w:tplc="4F2EF98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100026"/>
    <w:multiLevelType w:val="hybridMultilevel"/>
    <w:tmpl w:val="22A0B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D336B1"/>
    <w:multiLevelType w:val="hybridMultilevel"/>
    <w:tmpl w:val="BFC6C2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548D6733"/>
    <w:multiLevelType w:val="hybridMultilevel"/>
    <w:tmpl w:val="C2CA36F0"/>
    <w:lvl w:ilvl="0" w:tplc="08090001">
      <w:start w:val="1"/>
      <w:numFmt w:val="bullet"/>
      <w:lvlText w:val=""/>
      <w:lvlJc w:val="left"/>
      <w:pPr>
        <w:ind w:left="720" w:hanging="360"/>
      </w:pPr>
      <w:rPr>
        <w:rFonts w:ascii="Symbol" w:hAnsi="Symbol" w:hint="default"/>
      </w:rPr>
    </w:lvl>
    <w:lvl w:ilvl="1" w:tplc="15F491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251C00"/>
    <w:multiLevelType w:val="hybridMultilevel"/>
    <w:tmpl w:val="A4583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4D1889"/>
    <w:multiLevelType w:val="hybridMultilevel"/>
    <w:tmpl w:val="00065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77B42E0"/>
    <w:multiLevelType w:val="hybridMultilevel"/>
    <w:tmpl w:val="86248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DE5E56"/>
    <w:multiLevelType w:val="hybridMultilevel"/>
    <w:tmpl w:val="9CE4429A"/>
    <w:lvl w:ilvl="0" w:tplc="4F2EF98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E13351"/>
    <w:multiLevelType w:val="hybridMultilevel"/>
    <w:tmpl w:val="B7FCB1D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820523E"/>
    <w:multiLevelType w:val="hybridMultilevel"/>
    <w:tmpl w:val="C7D844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6">
    <w:nsid w:val="717A1BFA"/>
    <w:multiLevelType w:val="hybridMultilevel"/>
    <w:tmpl w:val="86AE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254602C"/>
    <w:multiLevelType w:val="hybridMultilevel"/>
    <w:tmpl w:val="9604B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73566"/>
    <w:multiLevelType w:val="hybridMultilevel"/>
    <w:tmpl w:val="753AB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80654FA"/>
    <w:multiLevelType w:val="hybridMultilevel"/>
    <w:tmpl w:val="65B0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D1E15"/>
    <w:multiLevelType w:val="hybridMultilevel"/>
    <w:tmpl w:val="6F78B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5"/>
  </w:num>
  <w:num w:numId="5">
    <w:abstractNumId w:val="0"/>
  </w:num>
  <w:num w:numId="6">
    <w:abstractNumId w:val="18"/>
  </w:num>
  <w:num w:numId="7">
    <w:abstractNumId w:val="30"/>
  </w:num>
  <w:num w:numId="8">
    <w:abstractNumId w:val="17"/>
  </w:num>
  <w:num w:numId="9">
    <w:abstractNumId w:val="12"/>
  </w:num>
  <w:num w:numId="10">
    <w:abstractNumId w:val="14"/>
  </w:num>
  <w:num w:numId="11">
    <w:abstractNumId w:val="21"/>
  </w:num>
  <w:num w:numId="12">
    <w:abstractNumId w:val="6"/>
  </w:num>
  <w:num w:numId="13">
    <w:abstractNumId w:val="7"/>
  </w:num>
  <w:num w:numId="14">
    <w:abstractNumId w:val="29"/>
  </w:num>
  <w:num w:numId="15">
    <w:abstractNumId w:val="16"/>
  </w:num>
  <w:num w:numId="16">
    <w:abstractNumId w:val="10"/>
  </w:num>
  <w:num w:numId="17">
    <w:abstractNumId w:val="23"/>
  </w:num>
  <w:num w:numId="18">
    <w:abstractNumId w:val="20"/>
  </w:num>
  <w:num w:numId="19">
    <w:abstractNumId w:val="28"/>
  </w:num>
  <w:num w:numId="20">
    <w:abstractNumId w:val="15"/>
  </w:num>
  <w:num w:numId="21">
    <w:abstractNumId w:val="19"/>
  </w:num>
  <w:num w:numId="22">
    <w:abstractNumId w:val="25"/>
  </w:num>
  <w:num w:numId="23">
    <w:abstractNumId w:val="27"/>
  </w:num>
  <w:num w:numId="24">
    <w:abstractNumId w:val="9"/>
  </w:num>
  <w:num w:numId="25">
    <w:abstractNumId w:val="3"/>
  </w:num>
  <w:num w:numId="26">
    <w:abstractNumId w:val="2"/>
  </w:num>
  <w:num w:numId="27">
    <w:abstractNumId w:val="22"/>
  </w:num>
  <w:num w:numId="28">
    <w:abstractNumId w:val="26"/>
  </w:num>
  <w:num w:numId="29">
    <w:abstractNumId w:val="13"/>
  </w:num>
  <w:num w:numId="30">
    <w:abstractNumId w:val="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B11"/>
    <w:rsid w:val="00005FC5"/>
    <w:rsid w:val="0006487A"/>
    <w:rsid w:val="00076989"/>
    <w:rsid w:val="00082D72"/>
    <w:rsid w:val="000A518E"/>
    <w:rsid w:val="000A727B"/>
    <w:rsid w:val="000D6940"/>
    <w:rsid w:val="000F56D5"/>
    <w:rsid w:val="000F784B"/>
    <w:rsid w:val="001274E4"/>
    <w:rsid w:val="001509D8"/>
    <w:rsid w:val="00154D75"/>
    <w:rsid w:val="00156D33"/>
    <w:rsid w:val="00182C64"/>
    <w:rsid w:val="0019442D"/>
    <w:rsid w:val="001A06DD"/>
    <w:rsid w:val="001A3BCD"/>
    <w:rsid w:val="001A4B46"/>
    <w:rsid w:val="001C34DC"/>
    <w:rsid w:val="00211B58"/>
    <w:rsid w:val="002230D8"/>
    <w:rsid w:val="002467DD"/>
    <w:rsid w:val="0026153B"/>
    <w:rsid w:val="00271F39"/>
    <w:rsid w:val="00294529"/>
    <w:rsid w:val="002A6FE8"/>
    <w:rsid w:val="002B0E27"/>
    <w:rsid w:val="002D2E6F"/>
    <w:rsid w:val="00307662"/>
    <w:rsid w:val="00312201"/>
    <w:rsid w:val="00317B11"/>
    <w:rsid w:val="0032060C"/>
    <w:rsid w:val="003249DD"/>
    <w:rsid w:val="00347075"/>
    <w:rsid w:val="00353368"/>
    <w:rsid w:val="0036633B"/>
    <w:rsid w:val="00376674"/>
    <w:rsid w:val="0039645A"/>
    <w:rsid w:val="003A2626"/>
    <w:rsid w:val="003A618B"/>
    <w:rsid w:val="003B1186"/>
    <w:rsid w:val="003C5281"/>
    <w:rsid w:val="003E16E9"/>
    <w:rsid w:val="00402454"/>
    <w:rsid w:val="0042185C"/>
    <w:rsid w:val="00442213"/>
    <w:rsid w:val="00443AE4"/>
    <w:rsid w:val="004730C6"/>
    <w:rsid w:val="0048065B"/>
    <w:rsid w:val="00496E4C"/>
    <w:rsid w:val="004A5190"/>
    <w:rsid w:val="004B4164"/>
    <w:rsid w:val="004B7C78"/>
    <w:rsid w:val="004D2685"/>
    <w:rsid w:val="00500A4B"/>
    <w:rsid w:val="00501B93"/>
    <w:rsid w:val="00556720"/>
    <w:rsid w:val="00566457"/>
    <w:rsid w:val="00571C2E"/>
    <w:rsid w:val="00581A08"/>
    <w:rsid w:val="005B7468"/>
    <w:rsid w:val="005D5804"/>
    <w:rsid w:val="005F534B"/>
    <w:rsid w:val="00611776"/>
    <w:rsid w:val="0062718F"/>
    <w:rsid w:val="00636029"/>
    <w:rsid w:val="006376B5"/>
    <w:rsid w:val="00640458"/>
    <w:rsid w:val="00687F4B"/>
    <w:rsid w:val="006C5364"/>
    <w:rsid w:val="006D1A06"/>
    <w:rsid w:val="006D4ED6"/>
    <w:rsid w:val="006E7730"/>
    <w:rsid w:val="00701BF6"/>
    <w:rsid w:val="00707813"/>
    <w:rsid w:val="00712A32"/>
    <w:rsid w:val="00755BC6"/>
    <w:rsid w:val="00763ED2"/>
    <w:rsid w:val="00773BFE"/>
    <w:rsid w:val="007757BB"/>
    <w:rsid w:val="00780269"/>
    <w:rsid w:val="00781686"/>
    <w:rsid w:val="007B695D"/>
    <w:rsid w:val="007D1004"/>
    <w:rsid w:val="007D1DAF"/>
    <w:rsid w:val="007E61B1"/>
    <w:rsid w:val="007F27DF"/>
    <w:rsid w:val="008234DF"/>
    <w:rsid w:val="008378A9"/>
    <w:rsid w:val="008446B9"/>
    <w:rsid w:val="00874C47"/>
    <w:rsid w:val="0090336B"/>
    <w:rsid w:val="00906362"/>
    <w:rsid w:val="009132DE"/>
    <w:rsid w:val="00976CDD"/>
    <w:rsid w:val="009D7686"/>
    <w:rsid w:val="009F6185"/>
    <w:rsid w:val="00A300DB"/>
    <w:rsid w:val="00A411FB"/>
    <w:rsid w:val="00A45D73"/>
    <w:rsid w:val="00A703AE"/>
    <w:rsid w:val="00A86488"/>
    <w:rsid w:val="00A86E15"/>
    <w:rsid w:val="00A9161E"/>
    <w:rsid w:val="00AA022F"/>
    <w:rsid w:val="00AC1352"/>
    <w:rsid w:val="00AD2FCA"/>
    <w:rsid w:val="00AD6383"/>
    <w:rsid w:val="00B328A5"/>
    <w:rsid w:val="00B5772E"/>
    <w:rsid w:val="00BA44C1"/>
    <w:rsid w:val="00BB5992"/>
    <w:rsid w:val="00BC3C51"/>
    <w:rsid w:val="00BD390E"/>
    <w:rsid w:val="00BD4A77"/>
    <w:rsid w:val="00BF183E"/>
    <w:rsid w:val="00BF3403"/>
    <w:rsid w:val="00C050DA"/>
    <w:rsid w:val="00C1211A"/>
    <w:rsid w:val="00C17AB1"/>
    <w:rsid w:val="00C37638"/>
    <w:rsid w:val="00C46034"/>
    <w:rsid w:val="00C54CA6"/>
    <w:rsid w:val="00C63E26"/>
    <w:rsid w:val="00C72C49"/>
    <w:rsid w:val="00C8596E"/>
    <w:rsid w:val="00C971E8"/>
    <w:rsid w:val="00CC758E"/>
    <w:rsid w:val="00CD7AEE"/>
    <w:rsid w:val="00D12B80"/>
    <w:rsid w:val="00D13B7B"/>
    <w:rsid w:val="00D21545"/>
    <w:rsid w:val="00D25CA3"/>
    <w:rsid w:val="00D31F3A"/>
    <w:rsid w:val="00D3314B"/>
    <w:rsid w:val="00D36A3D"/>
    <w:rsid w:val="00D43DA0"/>
    <w:rsid w:val="00D46C0A"/>
    <w:rsid w:val="00DB76F4"/>
    <w:rsid w:val="00DE2306"/>
    <w:rsid w:val="00DE5024"/>
    <w:rsid w:val="00DE67E2"/>
    <w:rsid w:val="00E03A23"/>
    <w:rsid w:val="00E041F8"/>
    <w:rsid w:val="00E15FA5"/>
    <w:rsid w:val="00E26EF3"/>
    <w:rsid w:val="00E406D8"/>
    <w:rsid w:val="00E64591"/>
    <w:rsid w:val="00E66301"/>
    <w:rsid w:val="00EB1721"/>
    <w:rsid w:val="00EB7ED0"/>
    <w:rsid w:val="00EC0D4C"/>
    <w:rsid w:val="00ED0252"/>
    <w:rsid w:val="00F2737D"/>
    <w:rsid w:val="00F5308C"/>
    <w:rsid w:val="00F63962"/>
    <w:rsid w:val="00FA0AAD"/>
    <w:rsid w:val="00FC1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11"/>
    <w:pPr>
      <w:ind w:left="720"/>
      <w:contextualSpacing/>
    </w:pPr>
  </w:style>
  <w:style w:type="character" w:styleId="Hyperlink">
    <w:name w:val="Hyperlink"/>
    <w:basedOn w:val="DefaultParagraphFont"/>
    <w:uiPriority w:val="99"/>
    <w:unhideWhenUsed/>
    <w:rsid w:val="00317B11"/>
    <w:rPr>
      <w:color w:val="0000FF" w:themeColor="hyperlink"/>
      <w:u w:val="single"/>
    </w:rPr>
  </w:style>
  <w:style w:type="paragraph" w:styleId="FootnoteText">
    <w:name w:val="footnote text"/>
    <w:basedOn w:val="Normal"/>
    <w:link w:val="FootnoteTextChar"/>
    <w:uiPriority w:val="99"/>
    <w:semiHidden/>
    <w:unhideWhenUsed/>
    <w:rsid w:val="00317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B11"/>
    <w:rPr>
      <w:sz w:val="20"/>
      <w:szCs w:val="20"/>
    </w:rPr>
  </w:style>
  <w:style w:type="character" w:styleId="FootnoteReference">
    <w:name w:val="footnote reference"/>
    <w:basedOn w:val="DefaultParagraphFont"/>
    <w:uiPriority w:val="99"/>
    <w:semiHidden/>
    <w:unhideWhenUsed/>
    <w:rsid w:val="00317B11"/>
    <w:rPr>
      <w:vertAlign w:val="superscript"/>
    </w:rPr>
  </w:style>
  <w:style w:type="paragraph" w:styleId="Header">
    <w:name w:val="header"/>
    <w:basedOn w:val="Normal"/>
    <w:link w:val="HeaderChar"/>
    <w:uiPriority w:val="99"/>
    <w:unhideWhenUsed/>
    <w:rsid w:val="00317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B11"/>
  </w:style>
  <w:style w:type="paragraph" w:styleId="Footer">
    <w:name w:val="footer"/>
    <w:basedOn w:val="Normal"/>
    <w:link w:val="FooterChar"/>
    <w:uiPriority w:val="99"/>
    <w:unhideWhenUsed/>
    <w:rsid w:val="00317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B11"/>
  </w:style>
  <w:style w:type="paragraph" w:customStyle="1" w:styleId="Default">
    <w:name w:val="Default"/>
    <w:rsid w:val="00317B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11"/>
    <w:rPr>
      <w:rFonts w:ascii="Tahoma" w:hAnsi="Tahoma" w:cs="Tahoma"/>
      <w:sz w:val="16"/>
      <w:szCs w:val="16"/>
    </w:rPr>
  </w:style>
  <w:style w:type="table" w:styleId="TableGrid">
    <w:name w:val="Table Grid"/>
    <w:basedOn w:val="TableNormal"/>
    <w:uiPriority w:val="59"/>
    <w:rsid w:val="00FA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0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B11"/>
    <w:pPr>
      <w:ind w:left="720"/>
      <w:contextualSpacing/>
    </w:pPr>
  </w:style>
  <w:style w:type="character" w:styleId="Hyperlink">
    <w:name w:val="Hyperlink"/>
    <w:basedOn w:val="DefaultParagraphFont"/>
    <w:uiPriority w:val="99"/>
    <w:unhideWhenUsed/>
    <w:rsid w:val="00317B11"/>
    <w:rPr>
      <w:color w:val="0000FF" w:themeColor="hyperlink"/>
      <w:u w:val="single"/>
    </w:rPr>
  </w:style>
  <w:style w:type="paragraph" w:styleId="FootnoteText">
    <w:name w:val="footnote text"/>
    <w:basedOn w:val="Normal"/>
    <w:link w:val="FootnoteTextChar"/>
    <w:uiPriority w:val="99"/>
    <w:semiHidden/>
    <w:unhideWhenUsed/>
    <w:rsid w:val="00317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7B11"/>
    <w:rPr>
      <w:sz w:val="20"/>
      <w:szCs w:val="20"/>
    </w:rPr>
  </w:style>
  <w:style w:type="character" w:styleId="FootnoteReference">
    <w:name w:val="footnote reference"/>
    <w:basedOn w:val="DefaultParagraphFont"/>
    <w:uiPriority w:val="99"/>
    <w:semiHidden/>
    <w:unhideWhenUsed/>
    <w:rsid w:val="00317B11"/>
    <w:rPr>
      <w:vertAlign w:val="superscript"/>
    </w:rPr>
  </w:style>
  <w:style w:type="paragraph" w:styleId="Header">
    <w:name w:val="header"/>
    <w:basedOn w:val="Normal"/>
    <w:link w:val="HeaderChar"/>
    <w:uiPriority w:val="99"/>
    <w:unhideWhenUsed/>
    <w:rsid w:val="00317B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B11"/>
  </w:style>
  <w:style w:type="paragraph" w:styleId="Footer">
    <w:name w:val="footer"/>
    <w:basedOn w:val="Normal"/>
    <w:link w:val="FooterChar"/>
    <w:uiPriority w:val="99"/>
    <w:unhideWhenUsed/>
    <w:rsid w:val="00317B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B11"/>
  </w:style>
  <w:style w:type="paragraph" w:customStyle="1" w:styleId="Default">
    <w:name w:val="Default"/>
    <w:rsid w:val="00317B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7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B11"/>
    <w:rPr>
      <w:rFonts w:ascii="Tahoma" w:hAnsi="Tahoma" w:cs="Tahoma"/>
      <w:sz w:val="16"/>
      <w:szCs w:val="16"/>
    </w:rPr>
  </w:style>
  <w:style w:type="table" w:styleId="TableGrid">
    <w:name w:val="Table Grid"/>
    <w:basedOn w:val="TableNormal"/>
    <w:uiPriority w:val="59"/>
    <w:rsid w:val="00FA0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0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73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imgres?imgurl=http://www.oxped.org.uk/_/rsrc/1481374835154/expeditions/fd17/dean1.jpg?height%3D192%26width%3D400&amp;imgrefurl=http://www.oxped.org.uk/expeditions/fd17&amp;docid=h3BM3-LHPYcV7M&amp;tbnid=Qm5JfukHg0hgXM:&amp;vet=1&amp;w=400&amp;h=192&amp;safe=strict&amp;bih=665&amp;biw=1273&amp;q=forest%20of%20dean&amp;ved=0ahUKEwjb5NmHm7_RAhVFIsAKHZAtC04QMwiKAShNME0&amp;iact=mrc&amp;uact=8" TargetMode="External"/><Relationship Id="rId13" Type="http://schemas.openxmlformats.org/officeDocument/2006/relationships/image" Target="media/image3.jpeg"/><Relationship Id="rId18" Type="http://schemas.openxmlformats.org/officeDocument/2006/relationships/image" Target="media/image5.JP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ogle.co.uk/imgres?imgurl=https://upload.wikimedia.org/wikipedia/commons/1/15/Lydney_and_District_Hospital._-_geograph.org.uk_-_289348.jpg&amp;imgrefurl=https://commons.wikimedia.org/wiki/File:Lydney_and_District_Hospital._-_geograph.org.uk_-_289348.jpg&amp;docid=6Uf22O9vKkTbtM&amp;tbnid=rw0HuuKFhOTP1M:&amp;vet=1&amp;w=640&amp;h=427&amp;safe=strict&amp;bih=665&amp;biw=1273&amp;q=Lydney%20hospital%20forest%20of%20dean&amp;ved=0ahUKEwj5yffDnL_RAhXmLsAKHdLSAfoQMwgqKBAwEA&amp;iact=mrc&amp;uact=8" TargetMode="External"/><Relationship Id="rId17" Type="http://schemas.openxmlformats.org/officeDocument/2006/relationships/hyperlink" Target="http://www.kingfishertreasureseekers.com/cavernsupport" TargetMode="External"/><Relationship Id="rId2" Type="http://schemas.openxmlformats.org/officeDocument/2006/relationships/styles" Target="styles.xml"/><Relationship Id="rId16" Type="http://schemas.openxmlformats.org/officeDocument/2006/relationships/hyperlink" Target="http://www.gloucestershireccg.nhs.uk/feedback/engagement-and-consultation/closed-engagement-or-consultations/foresthealth-yoursa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ogle.co.uk/url?sa=i&amp;rct=j&amp;q=&amp;esrc=s&amp;source=images&amp;cd=&amp;cad=rja&amp;uact=8&amp;ved=0ahUKEwiD3bfzm7_RAhWEAxoKHYShA4MQjRwIBw&amp;url=http://www.mitcheldeansurgery.co.uk/&amp;bvm=bv.144224172,d.ZGg&amp;psig=AFQjCNFmGFiEFphqVYDYWfPMo72ZEFCkjw&amp;ust=1484400205644614" TargetMode="External"/><Relationship Id="rId19" Type="http://schemas.openxmlformats.org/officeDocument/2006/relationships/hyperlink" Target="https://youtu.be/GcoDfk5TeFw"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co.uk/url?sa=i&amp;rct=j&amp;q=&amp;esrc=s&amp;source=images&amp;cd=&amp;cad=rja&amp;uact=8&amp;ved=0ahUKEwjWuaGVnL_RAhWFXhoKHfd8CwEQjRwIBw&amp;url=http://www.gloucestershirelive.co.uk/countryfile-filming-dilke-hospital-new-anti-boar/story-28226377-detail/story.html&amp;bvm=bv.144224172,d.ZGg&amp;psig=AFQjCNG3zz5YJNvR2s_dSaolFjJht7GZaQ&amp;ust=14844002919638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Administrator</cp:lastModifiedBy>
  <cp:revision>3</cp:revision>
  <dcterms:created xsi:type="dcterms:W3CDTF">2017-02-06T09:49:00Z</dcterms:created>
  <dcterms:modified xsi:type="dcterms:W3CDTF">2017-02-06T09:50:00Z</dcterms:modified>
</cp:coreProperties>
</file>