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11" w:rsidRDefault="00317B11" w:rsidP="00317B1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Patient E</w:t>
      </w:r>
      <w:r w:rsidRPr="008A1947">
        <w:rPr>
          <w:rFonts w:ascii="Arial" w:hAnsi="Arial" w:cs="Arial"/>
          <w:b/>
          <w:sz w:val="32"/>
          <w:szCs w:val="32"/>
        </w:rPr>
        <w:t xml:space="preserve">xperience </w:t>
      </w:r>
    </w:p>
    <w:p w:rsidR="00317B11" w:rsidRPr="00B25364" w:rsidRDefault="00317B11" w:rsidP="00317B11">
      <w:pPr>
        <w:ind w:left="426" w:hanging="426"/>
        <w:rPr>
          <w:rFonts w:ascii="Arial" w:hAnsi="Arial" w:cs="Arial"/>
          <w:b/>
          <w:sz w:val="24"/>
          <w:szCs w:val="24"/>
        </w:rPr>
      </w:pPr>
      <w:r w:rsidRPr="00B25364">
        <w:rPr>
          <w:rFonts w:ascii="Arial" w:hAnsi="Arial" w:cs="Arial"/>
          <w:b/>
          <w:sz w:val="24"/>
          <w:szCs w:val="24"/>
        </w:rPr>
        <w:t>1</w:t>
      </w:r>
      <w:r w:rsidRPr="00B25364">
        <w:rPr>
          <w:rFonts w:ascii="Arial" w:hAnsi="Arial" w:cs="Arial"/>
          <w:b/>
          <w:sz w:val="24"/>
          <w:szCs w:val="24"/>
        </w:rPr>
        <w:tab/>
        <w:t>Real-life/patient stories</w:t>
      </w:r>
    </w:p>
    <w:p w:rsidR="00317B11" w:rsidRDefault="00317B11" w:rsidP="00317B11">
      <w:pPr>
        <w:rPr>
          <w:rFonts w:ascii="Arial" w:hAnsi="Arial" w:cs="Arial"/>
          <w:sz w:val="24"/>
          <w:szCs w:val="24"/>
        </w:rPr>
      </w:pPr>
      <w:r w:rsidRPr="00B25364">
        <w:rPr>
          <w:rFonts w:ascii="Arial" w:hAnsi="Arial" w:cs="Arial"/>
          <w:sz w:val="24"/>
          <w:szCs w:val="24"/>
        </w:rPr>
        <w:t xml:space="preserve">Real-life stories provide powerful evidence to help us develop services that are responsive to the needs of our local communities. A range of patient stories are available on the CCG website </w:t>
      </w:r>
      <w:r>
        <w:rPr>
          <w:rFonts w:ascii="Arial" w:hAnsi="Arial" w:cs="Arial"/>
          <w:sz w:val="24"/>
          <w:szCs w:val="24"/>
        </w:rPr>
        <w:t>at:</w:t>
      </w:r>
      <w:r w:rsidRPr="00B25364">
        <w:t xml:space="preserve"> </w:t>
      </w:r>
      <w:hyperlink r:id="rId8" w:history="1">
        <w:r w:rsidRPr="00700010">
          <w:rPr>
            <w:rStyle w:val="Hyperlink"/>
            <w:rFonts w:ascii="Arial" w:hAnsi="Arial" w:cs="Arial"/>
            <w:sz w:val="24"/>
            <w:szCs w:val="24"/>
          </w:rPr>
          <w:t>http://www.gloucestershireccg.nhs.uk/feedback/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1186" w:rsidRDefault="003B1186" w:rsidP="0044221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7B11" w:rsidRDefault="00317B11" w:rsidP="00317B11">
      <w:pPr>
        <w:ind w:left="426" w:hanging="426"/>
        <w:rPr>
          <w:rFonts w:ascii="Arial" w:hAnsi="Arial" w:cs="Arial"/>
          <w:b/>
          <w:sz w:val="24"/>
          <w:szCs w:val="24"/>
        </w:rPr>
      </w:pPr>
      <w:r w:rsidRPr="003E3231">
        <w:rPr>
          <w:rFonts w:ascii="Arial" w:hAnsi="Arial" w:cs="Arial"/>
          <w:b/>
          <w:sz w:val="24"/>
          <w:szCs w:val="24"/>
        </w:rPr>
        <w:t>2.</w:t>
      </w:r>
      <w:r w:rsidRPr="003E3231">
        <w:rPr>
          <w:rFonts w:ascii="Arial" w:hAnsi="Arial" w:cs="Arial"/>
          <w:b/>
          <w:sz w:val="24"/>
          <w:szCs w:val="24"/>
        </w:rPr>
        <w:tab/>
        <w:t xml:space="preserve">Programme/Project Title: </w:t>
      </w:r>
      <w:r w:rsidR="00DE5024">
        <w:rPr>
          <w:rFonts w:ascii="Arial" w:hAnsi="Arial" w:cs="Arial"/>
          <w:b/>
          <w:sz w:val="24"/>
          <w:szCs w:val="24"/>
        </w:rPr>
        <w:t>Wheelchair Services</w:t>
      </w:r>
    </w:p>
    <w:p w:rsidR="00317B11" w:rsidRDefault="00317B11" w:rsidP="00317B11">
      <w:pPr>
        <w:ind w:left="426" w:hanging="426"/>
        <w:rPr>
          <w:rFonts w:ascii="Arial" w:hAnsi="Arial" w:cs="Arial"/>
          <w:b/>
          <w:sz w:val="24"/>
          <w:szCs w:val="24"/>
        </w:rPr>
      </w:pPr>
      <w:r w:rsidRPr="003E3231"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b/>
          <w:sz w:val="24"/>
          <w:szCs w:val="24"/>
        </w:rPr>
        <w:tab/>
      </w:r>
      <w:r w:rsidRPr="003E3231">
        <w:rPr>
          <w:rFonts w:ascii="Arial" w:hAnsi="Arial" w:cs="Arial"/>
          <w:b/>
          <w:sz w:val="24"/>
          <w:szCs w:val="24"/>
        </w:rPr>
        <w:t>Background to the project</w:t>
      </w:r>
    </w:p>
    <w:p w:rsidR="00FA0AAD" w:rsidRPr="00FA0AAD" w:rsidRDefault="003B1186" w:rsidP="00FA0AAD">
      <w:pPr>
        <w:ind w:right="-330"/>
        <w:rPr>
          <w:rFonts w:ascii="Arial" w:eastAsia="Frutiger" w:hAnsi="Arial" w:cs="Arial"/>
          <w:sz w:val="24"/>
          <w:szCs w:val="24"/>
        </w:rPr>
      </w:pPr>
      <w:r>
        <w:rPr>
          <w:rFonts w:ascii="Arial" w:eastAsia="Frutiger" w:hAnsi="Arial" w:cs="Arial"/>
          <w:sz w:val="24"/>
          <w:szCs w:val="24"/>
        </w:rPr>
        <w:t xml:space="preserve">The assessment element of the </w:t>
      </w:r>
      <w:r w:rsidR="00FA0AAD" w:rsidRPr="00FA0AAD">
        <w:rPr>
          <w:rFonts w:ascii="Arial" w:eastAsia="Frutiger" w:hAnsi="Arial" w:cs="Arial"/>
          <w:sz w:val="24"/>
          <w:szCs w:val="24"/>
        </w:rPr>
        <w:t>Gloucestershire Specialist Wheelchair Service (GSWS) is provided by Gloucestershire Care Services NHS Trust</w:t>
      </w:r>
      <w:r w:rsidR="00E03A23">
        <w:rPr>
          <w:rFonts w:ascii="Arial" w:eastAsia="Frutiger" w:hAnsi="Arial" w:cs="Arial"/>
          <w:sz w:val="24"/>
          <w:szCs w:val="24"/>
        </w:rPr>
        <w:t xml:space="preserve"> (GCS)</w:t>
      </w:r>
      <w:r w:rsidR="00FA0AAD" w:rsidRPr="00FA0AAD">
        <w:rPr>
          <w:rFonts w:ascii="Arial" w:eastAsia="Frutiger" w:hAnsi="Arial" w:cs="Arial"/>
          <w:sz w:val="24"/>
          <w:szCs w:val="24"/>
        </w:rPr>
        <w:t xml:space="preserve">. Provision and maintenance of equipment prescribed by GSWS is delivered by NHS North Bristol Trust (NBT).  </w:t>
      </w:r>
    </w:p>
    <w:p w:rsidR="00FA0AAD" w:rsidRPr="00FA0AAD" w:rsidRDefault="00FA0AAD" w:rsidP="00FA0AAD">
      <w:pPr>
        <w:ind w:right="-330"/>
        <w:rPr>
          <w:rFonts w:ascii="Arial" w:eastAsia="Frutiger" w:hAnsi="Arial" w:cs="Arial"/>
          <w:sz w:val="24"/>
          <w:szCs w:val="24"/>
        </w:rPr>
      </w:pPr>
      <w:r w:rsidRPr="00FA0AAD">
        <w:rPr>
          <w:rFonts w:ascii="Arial" w:eastAsia="Frutiger" w:hAnsi="Arial" w:cs="Arial"/>
          <w:sz w:val="24"/>
          <w:szCs w:val="24"/>
        </w:rPr>
        <w:t xml:space="preserve">GCCG and GCS </w:t>
      </w:r>
      <w:r w:rsidR="00E03A23">
        <w:rPr>
          <w:rFonts w:ascii="Arial" w:eastAsia="Frutiger" w:hAnsi="Arial" w:cs="Arial"/>
          <w:sz w:val="24"/>
          <w:szCs w:val="24"/>
        </w:rPr>
        <w:t xml:space="preserve">have jointly reviewed the current service and developed </w:t>
      </w:r>
      <w:r w:rsidRPr="00FA0AAD">
        <w:rPr>
          <w:rFonts w:ascii="Arial" w:eastAsia="Frutiger" w:hAnsi="Arial" w:cs="Arial"/>
          <w:sz w:val="24"/>
          <w:szCs w:val="24"/>
        </w:rPr>
        <w:t xml:space="preserve">a Service Improvement </w:t>
      </w:r>
      <w:r w:rsidR="00E03A23">
        <w:rPr>
          <w:rFonts w:ascii="Arial" w:eastAsia="Frutiger" w:hAnsi="Arial" w:cs="Arial"/>
          <w:sz w:val="24"/>
          <w:szCs w:val="24"/>
        </w:rPr>
        <w:t>Plan</w:t>
      </w:r>
      <w:r w:rsidRPr="00FA0AAD">
        <w:rPr>
          <w:rFonts w:ascii="Arial" w:eastAsia="Frutiger" w:hAnsi="Arial" w:cs="Arial"/>
          <w:sz w:val="24"/>
          <w:szCs w:val="24"/>
        </w:rPr>
        <w:t>. As part of this work</w:t>
      </w:r>
      <w:r w:rsidR="00E03A23">
        <w:rPr>
          <w:rFonts w:ascii="Arial" w:eastAsia="Frutiger" w:hAnsi="Arial" w:cs="Arial"/>
          <w:sz w:val="24"/>
          <w:szCs w:val="24"/>
        </w:rPr>
        <w:t>,</w:t>
      </w:r>
      <w:r w:rsidRPr="00FA0AAD">
        <w:rPr>
          <w:rFonts w:ascii="Arial" w:eastAsia="Frutiger" w:hAnsi="Arial" w:cs="Arial"/>
          <w:sz w:val="24"/>
          <w:szCs w:val="24"/>
        </w:rPr>
        <w:t xml:space="preserve"> a small pilot was </w:t>
      </w:r>
      <w:r w:rsidR="00E03A23">
        <w:rPr>
          <w:rFonts w:ascii="Arial" w:eastAsia="Frutiger" w:hAnsi="Arial" w:cs="Arial"/>
          <w:sz w:val="24"/>
          <w:szCs w:val="24"/>
        </w:rPr>
        <w:t>established</w:t>
      </w:r>
      <w:r w:rsidRPr="00FA0AAD">
        <w:rPr>
          <w:rFonts w:ascii="Arial" w:eastAsia="Frutiger" w:hAnsi="Arial" w:cs="Arial"/>
          <w:sz w:val="24"/>
          <w:szCs w:val="24"/>
        </w:rPr>
        <w:t xml:space="preserve"> to provide seat risers to service users</w:t>
      </w:r>
      <w:r w:rsidR="00E03A23">
        <w:rPr>
          <w:rFonts w:ascii="Arial" w:eastAsia="Frutiger" w:hAnsi="Arial" w:cs="Arial"/>
          <w:sz w:val="24"/>
          <w:szCs w:val="24"/>
        </w:rPr>
        <w:t xml:space="preserve"> who had been</w:t>
      </w:r>
      <w:r w:rsidRPr="00FA0AAD">
        <w:rPr>
          <w:rFonts w:ascii="Arial" w:eastAsia="Frutiger" w:hAnsi="Arial" w:cs="Arial"/>
          <w:sz w:val="24"/>
          <w:szCs w:val="24"/>
        </w:rPr>
        <w:t xml:space="preserve"> assessed by GSWS.</w:t>
      </w:r>
    </w:p>
    <w:p w:rsidR="00FA0AAD" w:rsidRPr="00FA0AAD" w:rsidRDefault="00FA0AAD" w:rsidP="00FA0AAD">
      <w:pPr>
        <w:ind w:right="-330"/>
        <w:rPr>
          <w:rFonts w:ascii="Arial" w:eastAsia="Frutiger" w:hAnsi="Arial" w:cs="Arial"/>
          <w:sz w:val="24"/>
          <w:szCs w:val="24"/>
        </w:rPr>
      </w:pPr>
      <w:r w:rsidRPr="00FA0AAD">
        <w:rPr>
          <w:rFonts w:ascii="Arial" w:eastAsia="Frutiger" w:hAnsi="Arial" w:cs="Arial"/>
          <w:sz w:val="24"/>
          <w:szCs w:val="24"/>
        </w:rPr>
        <w:t xml:space="preserve">‘Out and about Wheelchairs as part of a whole-systems approach to independence’ produced jointly by The Department of Health and Care Services Improvement Partnership 2006 </w:t>
      </w:r>
      <w:r w:rsidR="00E03A23">
        <w:rPr>
          <w:rFonts w:ascii="Arial" w:eastAsia="Frutiger" w:hAnsi="Arial" w:cs="Arial"/>
          <w:sz w:val="24"/>
          <w:szCs w:val="24"/>
        </w:rPr>
        <w:t>establishes the importance of good</w:t>
      </w:r>
      <w:r w:rsidRPr="00FA0AAD">
        <w:rPr>
          <w:rFonts w:ascii="Arial" w:eastAsia="Frutiger" w:hAnsi="Arial" w:cs="Arial"/>
          <w:sz w:val="24"/>
          <w:szCs w:val="24"/>
        </w:rPr>
        <w:t xml:space="preserve"> </w:t>
      </w:r>
      <w:r w:rsidR="00E03A23">
        <w:rPr>
          <w:rFonts w:ascii="Arial" w:eastAsia="Frutiger" w:hAnsi="Arial" w:cs="Arial"/>
          <w:sz w:val="24"/>
          <w:szCs w:val="24"/>
        </w:rPr>
        <w:t xml:space="preserve">wheelchair provision: </w:t>
      </w:r>
    </w:p>
    <w:p w:rsidR="00FA0AAD" w:rsidRDefault="00FA0AAD" w:rsidP="00E03A23">
      <w:pPr>
        <w:ind w:left="567" w:right="-330"/>
        <w:rPr>
          <w:rFonts w:ascii="Arial" w:eastAsia="Frutiger" w:hAnsi="Arial" w:cs="Arial"/>
          <w:i/>
          <w:sz w:val="24"/>
          <w:szCs w:val="24"/>
        </w:rPr>
      </w:pPr>
      <w:r w:rsidRPr="00FA0AAD">
        <w:rPr>
          <w:rFonts w:ascii="Arial" w:eastAsia="Frutiger" w:hAnsi="Arial" w:cs="Arial"/>
          <w:sz w:val="24"/>
          <w:szCs w:val="24"/>
        </w:rPr>
        <w:t>‘</w:t>
      </w:r>
      <w:r w:rsidRPr="00E03A23">
        <w:rPr>
          <w:rFonts w:ascii="Arial" w:eastAsia="Frutiger" w:hAnsi="Arial" w:cs="Arial"/>
          <w:i/>
          <w:sz w:val="24"/>
          <w:szCs w:val="24"/>
        </w:rPr>
        <w:t xml:space="preserve">Investment in an appropriate wheelchair can improve quality of life and well-being through increased independence and opportunities to work and participate in society. This can result in reduced need for care services and less dependence on benefits.’ </w:t>
      </w:r>
    </w:p>
    <w:p w:rsidR="000F56D5" w:rsidRPr="00E03A23" w:rsidRDefault="000F56D5" w:rsidP="00E03A23">
      <w:pPr>
        <w:ind w:left="567" w:right="-330"/>
        <w:rPr>
          <w:rFonts w:ascii="Arial" w:eastAsia="Frutiger" w:hAnsi="Arial" w:cs="Arial"/>
          <w:i/>
          <w:sz w:val="24"/>
          <w:szCs w:val="24"/>
        </w:rPr>
      </w:pPr>
      <w:r>
        <w:rPr>
          <w:rFonts w:ascii="Arial" w:eastAsia="Frutiger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1" locked="0" layoutInCell="1" allowOverlap="1" wp14:anchorId="599838F7" wp14:editId="3FCE38B8">
            <wp:simplePos x="0" y="0"/>
            <wp:positionH relativeFrom="column">
              <wp:posOffset>1619250</wp:posOffset>
            </wp:positionH>
            <wp:positionV relativeFrom="paragraph">
              <wp:posOffset>52705</wp:posOffset>
            </wp:positionV>
            <wp:extent cx="3181350" cy="2117090"/>
            <wp:effectExtent l="0" t="0" r="0" b="0"/>
            <wp:wrapTight wrapText="bothSides">
              <wp:wrapPolygon edited="0">
                <wp:start x="0" y="0"/>
                <wp:lineTo x="0" y="21380"/>
                <wp:lineTo x="21471" y="21380"/>
                <wp:lineTo x="21471" y="0"/>
                <wp:lineTo x="0" y="0"/>
              </wp:wrapPolygon>
            </wp:wrapTight>
            <wp:docPr id="19" name="Picture 19" descr="M:\QandN\PaEngage\QIPP\Patient Stories\Library Pictures\Wheelchair u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QandN\PaEngage\QIPP\Patient Stories\Library Pictures\Wheelchair us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6D5" w:rsidRDefault="000F56D5" w:rsidP="00FA0AAD">
      <w:pPr>
        <w:ind w:right="-330"/>
        <w:rPr>
          <w:rFonts w:ascii="Arial" w:eastAsia="Frutiger" w:hAnsi="Arial" w:cs="Arial"/>
          <w:sz w:val="24"/>
          <w:szCs w:val="24"/>
        </w:rPr>
      </w:pPr>
    </w:p>
    <w:p w:rsidR="000F56D5" w:rsidRDefault="000F56D5" w:rsidP="00FA0AAD">
      <w:pPr>
        <w:ind w:right="-330"/>
        <w:rPr>
          <w:rFonts w:ascii="Arial" w:eastAsia="Frutiger" w:hAnsi="Arial" w:cs="Arial"/>
          <w:sz w:val="24"/>
          <w:szCs w:val="24"/>
        </w:rPr>
      </w:pPr>
    </w:p>
    <w:p w:rsidR="000F56D5" w:rsidRDefault="000F56D5" w:rsidP="00FA0AAD">
      <w:pPr>
        <w:ind w:right="-330"/>
        <w:rPr>
          <w:rFonts w:ascii="Arial" w:eastAsia="Frutiger" w:hAnsi="Arial" w:cs="Arial"/>
          <w:sz w:val="24"/>
          <w:szCs w:val="24"/>
        </w:rPr>
      </w:pPr>
    </w:p>
    <w:p w:rsidR="000F56D5" w:rsidRDefault="000F56D5" w:rsidP="00FA0AAD">
      <w:pPr>
        <w:ind w:right="-330"/>
        <w:rPr>
          <w:rFonts w:ascii="Arial" w:eastAsia="Frutiger" w:hAnsi="Arial" w:cs="Arial"/>
          <w:sz w:val="24"/>
          <w:szCs w:val="24"/>
        </w:rPr>
      </w:pPr>
    </w:p>
    <w:p w:rsidR="000F56D5" w:rsidRDefault="000F56D5" w:rsidP="00FA0AAD">
      <w:pPr>
        <w:ind w:right="-330"/>
        <w:rPr>
          <w:rFonts w:ascii="Arial" w:eastAsia="Frutiger" w:hAnsi="Arial" w:cs="Arial"/>
          <w:sz w:val="24"/>
          <w:szCs w:val="24"/>
        </w:rPr>
      </w:pPr>
    </w:p>
    <w:p w:rsidR="000F56D5" w:rsidRDefault="000F56D5" w:rsidP="00FA0AAD">
      <w:pPr>
        <w:ind w:right="-330"/>
        <w:rPr>
          <w:rFonts w:ascii="Arial" w:eastAsia="Frutiger" w:hAnsi="Arial" w:cs="Arial"/>
          <w:sz w:val="24"/>
          <w:szCs w:val="24"/>
        </w:rPr>
      </w:pPr>
    </w:p>
    <w:p w:rsidR="000F56D5" w:rsidRDefault="000F56D5" w:rsidP="00FA0AAD">
      <w:pPr>
        <w:ind w:right="-330"/>
        <w:rPr>
          <w:rFonts w:ascii="Arial" w:eastAsia="Frutiger" w:hAnsi="Arial" w:cs="Arial"/>
          <w:sz w:val="24"/>
          <w:szCs w:val="24"/>
        </w:rPr>
      </w:pPr>
    </w:p>
    <w:p w:rsidR="00FA0AAD" w:rsidRPr="00FA0AAD" w:rsidRDefault="00FA0AAD" w:rsidP="00FA0AAD">
      <w:pPr>
        <w:ind w:right="-330"/>
        <w:rPr>
          <w:rFonts w:ascii="Arial" w:eastAsia="Frutiger" w:hAnsi="Arial" w:cs="Arial"/>
          <w:sz w:val="24"/>
          <w:szCs w:val="24"/>
        </w:rPr>
      </w:pPr>
      <w:r w:rsidRPr="00FA0AAD">
        <w:rPr>
          <w:rFonts w:ascii="Arial" w:eastAsia="Frutiger" w:hAnsi="Arial" w:cs="Arial"/>
          <w:sz w:val="24"/>
          <w:szCs w:val="24"/>
        </w:rPr>
        <w:t xml:space="preserve">The Better Care Fund exemplifies </w:t>
      </w:r>
      <w:r w:rsidR="00E03A23">
        <w:rPr>
          <w:rFonts w:ascii="Arial" w:eastAsia="Frutiger" w:hAnsi="Arial" w:cs="Arial"/>
          <w:sz w:val="24"/>
          <w:szCs w:val="24"/>
        </w:rPr>
        <w:t xml:space="preserve">the </w:t>
      </w:r>
      <w:r w:rsidRPr="00FA0AAD">
        <w:rPr>
          <w:rFonts w:ascii="Arial" w:eastAsia="Frutiger" w:hAnsi="Arial" w:cs="Arial"/>
          <w:sz w:val="24"/>
          <w:szCs w:val="24"/>
        </w:rPr>
        <w:t xml:space="preserve">Wheelchair Assessment Service as a system enabler and an area where integrated working and person centred assessment of service user’s needs promotes independence and produces better outcomes. </w:t>
      </w:r>
    </w:p>
    <w:p w:rsidR="00FA0AAD" w:rsidRPr="00FA0AAD" w:rsidRDefault="00E03A23" w:rsidP="00FA0AAD">
      <w:pPr>
        <w:ind w:right="-330"/>
        <w:rPr>
          <w:rFonts w:ascii="Arial" w:eastAsia="Frutiger" w:hAnsi="Arial" w:cs="Arial"/>
          <w:sz w:val="24"/>
          <w:szCs w:val="24"/>
        </w:rPr>
      </w:pPr>
      <w:r>
        <w:rPr>
          <w:rFonts w:ascii="Arial" w:eastAsia="Frutiger" w:hAnsi="Arial" w:cs="Arial"/>
          <w:sz w:val="24"/>
          <w:szCs w:val="24"/>
        </w:rPr>
        <w:lastRenderedPageBreak/>
        <w:t xml:space="preserve">The pilot aimed to: </w:t>
      </w:r>
    </w:p>
    <w:p w:rsidR="00FA0AAD" w:rsidRPr="00FA0AAD" w:rsidRDefault="00FA0AAD" w:rsidP="00581A08">
      <w:pPr>
        <w:numPr>
          <w:ilvl w:val="0"/>
          <w:numId w:val="19"/>
        </w:numPr>
        <w:spacing w:after="0"/>
        <w:ind w:left="714" w:right="-329" w:hanging="357"/>
        <w:rPr>
          <w:rFonts w:ascii="Arial" w:eastAsia="Frutiger" w:hAnsi="Arial" w:cs="Arial"/>
          <w:sz w:val="24"/>
          <w:szCs w:val="24"/>
        </w:rPr>
      </w:pPr>
      <w:r w:rsidRPr="00FA0AAD">
        <w:rPr>
          <w:rFonts w:ascii="Arial" w:eastAsia="Frutiger" w:hAnsi="Arial" w:cs="Arial"/>
          <w:sz w:val="24"/>
          <w:szCs w:val="24"/>
        </w:rPr>
        <w:t>Promote provision of equipment to maximise independence, which is currently out of the scope of Wheelchair Service to provide.</w:t>
      </w:r>
    </w:p>
    <w:p w:rsidR="00FA0AAD" w:rsidRPr="00FA0AAD" w:rsidRDefault="00FA0AAD" w:rsidP="00581A08">
      <w:pPr>
        <w:numPr>
          <w:ilvl w:val="0"/>
          <w:numId w:val="19"/>
        </w:numPr>
        <w:spacing w:after="0"/>
        <w:ind w:left="714" w:right="-329" w:hanging="357"/>
        <w:rPr>
          <w:rFonts w:ascii="Arial" w:eastAsia="Frutiger" w:hAnsi="Arial" w:cs="Arial"/>
          <w:sz w:val="24"/>
          <w:szCs w:val="24"/>
        </w:rPr>
      </w:pPr>
      <w:r w:rsidRPr="00FA0AAD">
        <w:rPr>
          <w:rFonts w:ascii="Arial" w:eastAsia="Frutiger" w:hAnsi="Arial" w:cs="Arial"/>
          <w:sz w:val="24"/>
          <w:szCs w:val="24"/>
        </w:rPr>
        <w:t>Gain qualitative evidence to support wider benefits of extension of equipment provision to individuals and demonstrate benefits and outcomes.</w:t>
      </w:r>
    </w:p>
    <w:p w:rsidR="00FA0AAD" w:rsidRPr="00FA0AAD" w:rsidRDefault="00FA0AAD" w:rsidP="00581A08">
      <w:pPr>
        <w:numPr>
          <w:ilvl w:val="0"/>
          <w:numId w:val="19"/>
        </w:numPr>
        <w:spacing w:after="0"/>
        <w:ind w:left="714" w:right="-329" w:hanging="357"/>
        <w:rPr>
          <w:rFonts w:ascii="Arial" w:eastAsia="Frutiger" w:hAnsi="Arial" w:cs="Arial"/>
          <w:sz w:val="24"/>
          <w:szCs w:val="24"/>
        </w:rPr>
      </w:pPr>
      <w:r w:rsidRPr="00FA0AAD">
        <w:rPr>
          <w:rFonts w:ascii="Arial" w:eastAsia="Frutiger" w:hAnsi="Arial" w:cs="Arial"/>
          <w:sz w:val="24"/>
          <w:szCs w:val="24"/>
        </w:rPr>
        <w:t>Promote holistic assessment and advice on the provision of equipment for work, education or leisure when people fall into categories outside of the current criteria.</w:t>
      </w:r>
    </w:p>
    <w:p w:rsidR="00FA0AAD" w:rsidRPr="00FA0AAD" w:rsidRDefault="00E03A23" w:rsidP="00581A08">
      <w:pPr>
        <w:numPr>
          <w:ilvl w:val="0"/>
          <w:numId w:val="19"/>
        </w:numPr>
        <w:spacing w:after="0"/>
        <w:ind w:left="714" w:right="-329" w:hanging="357"/>
        <w:rPr>
          <w:rFonts w:ascii="Arial" w:eastAsia="Frutiger" w:hAnsi="Arial" w:cs="Arial"/>
          <w:sz w:val="24"/>
          <w:szCs w:val="24"/>
        </w:rPr>
      </w:pPr>
      <w:r>
        <w:rPr>
          <w:rFonts w:ascii="Arial" w:eastAsia="Frutiger" w:hAnsi="Arial" w:cs="Arial"/>
          <w:sz w:val="24"/>
          <w:szCs w:val="24"/>
        </w:rPr>
        <w:t>Ensure the Service Im</w:t>
      </w:r>
      <w:r w:rsidR="00FA0AAD" w:rsidRPr="00FA0AAD">
        <w:rPr>
          <w:rFonts w:ascii="Arial" w:eastAsia="Frutiger" w:hAnsi="Arial" w:cs="Arial"/>
          <w:sz w:val="24"/>
          <w:szCs w:val="24"/>
        </w:rPr>
        <w:t xml:space="preserve">provement Plan </w:t>
      </w:r>
      <w:r>
        <w:rPr>
          <w:rFonts w:ascii="Arial" w:eastAsia="Frutiger" w:hAnsi="Arial" w:cs="Arial"/>
          <w:sz w:val="24"/>
          <w:szCs w:val="24"/>
        </w:rPr>
        <w:t xml:space="preserve">was </w:t>
      </w:r>
      <w:r w:rsidR="00FA0AAD" w:rsidRPr="00FA0AAD">
        <w:rPr>
          <w:rFonts w:ascii="Arial" w:eastAsia="Frutiger" w:hAnsi="Arial" w:cs="Arial"/>
          <w:sz w:val="24"/>
          <w:szCs w:val="24"/>
        </w:rPr>
        <w:t>informed by Service User experience and direct involvement and decision making.</w:t>
      </w:r>
    </w:p>
    <w:p w:rsidR="00FA0AAD" w:rsidRPr="00FA0AAD" w:rsidRDefault="00E03A23" w:rsidP="00581A08">
      <w:pPr>
        <w:numPr>
          <w:ilvl w:val="0"/>
          <w:numId w:val="19"/>
        </w:numPr>
        <w:spacing w:after="0"/>
        <w:ind w:left="714" w:right="-329" w:hanging="357"/>
        <w:rPr>
          <w:rFonts w:ascii="Arial" w:eastAsia="Frutiger" w:hAnsi="Arial" w:cs="Arial"/>
          <w:sz w:val="24"/>
          <w:szCs w:val="24"/>
        </w:rPr>
      </w:pPr>
      <w:r>
        <w:rPr>
          <w:rFonts w:ascii="Arial" w:eastAsia="Frutiger" w:hAnsi="Arial" w:cs="Arial"/>
          <w:sz w:val="24"/>
          <w:szCs w:val="24"/>
        </w:rPr>
        <w:t>Monitor</w:t>
      </w:r>
      <w:r w:rsidR="00FA0AAD" w:rsidRPr="00FA0AAD">
        <w:rPr>
          <w:rFonts w:ascii="Arial" w:eastAsia="Frutiger" w:hAnsi="Arial" w:cs="Arial"/>
          <w:sz w:val="24"/>
          <w:szCs w:val="24"/>
        </w:rPr>
        <w:t xml:space="preserve"> </w:t>
      </w:r>
      <w:r>
        <w:rPr>
          <w:rFonts w:ascii="Arial" w:eastAsia="Frutiger" w:hAnsi="Arial" w:cs="Arial"/>
          <w:sz w:val="24"/>
          <w:szCs w:val="24"/>
        </w:rPr>
        <w:t>c</w:t>
      </w:r>
      <w:r w:rsidR="00FA0AAD" w:rsidRPr="00FA0AAD">
        <w:rPr>
          <w:rFonts w:ascii="Arial" w:eastAsia="Frutiger" w:hAnsi="Arial" w:cs="Arial"/>
          <w:sz w:val="24"/>
          <w:szCs w:val="24"/>
        </w:rPr>
        <w:t>ostings to help inform commissioning decisions re: extended provision.</w:t>
      </w:r>
    </w:p>
    <w:p w:rsidR="00317B11" w:rsidRDefault="00E03A23" w:rsidP="00581A08">
      <w:pPr>
        <w:numPr>
          <w:ilvl w:val="0"/>
          <w:numId w:val="19"/>
        </w:numPr>
        <w:spacing w:after="0"/>
        <w:ind w:left="714" w:right="-329" w:hanging="357"/>
        <w:rPr>
          <w:rFonts w:ascii="Arial" w:eastAsia="Frutiger" w:hAnsi="Arial" w:cs="Arial"/>
          <w:sz w:val="24"/>
          <w:szCs w:val="24"/>
        </w:rPr>
      </w:pPr>
      <w:r>
        <w:rPr>
          <w:rFonts w:ascii="Arial" w:eastAsia="Frutiger" w:hAnsi="Arial" w:cs="Arial"/>
          <w:sz w:val="24"/>
          <w:szCs w:val="24"/>
        </w:rPr>
        <w:t>Enable c</w:t>
      </w:r>
      <w:r w:rsidR="00FA0AAD" w:rsidRPr="00FA0AAD">
        <w:rPr>
          <w:rFonts w:ascii="Arial" w:eastAsia="Frutiger" w:hAnsi="Arial" w:cs="Arial"/>
          <w:sz w:val="24"/>
          <w:szCs w:val="24"/>
        </w:rPr>
        <w:t>ollaborative working between</w:t>
      </w:r>
      <w:r>
        <w:rPr>
          <w:rFonts w:ascii="Arial" w:eastAsia="Frutiger" w:hAnsi="Arial" w:cs="Arial"/>
          <w:sz w:val="24"/>
          <w:szCs w:val="24"/>
        </w:rPr>
        <w:t xml:space="preserve"> the</w:t>
      </w:r>
      <w:r w:rsidR="00FA0AAD" w:rsidRPr="00FA0AAD">
        <w:rPr>
          <w:rFonts w:ascii="Arial" w:eastAsia="Frutiger" w:hAnsi="Arial" w:cs="Arial"/>
          <w:sz w:val="24"/>
          <w:szCs w:val="24"/>
        </w:rPr>
        <w:t xml:space="preserve"> commissioner, provider, supplier, third sector and service user to improve outcomes for service users and achieve best value.</w:t>
      </w:r>
    </w:p>
    <w:p w:rsidR="00FA0AAD" w:rsidRPr="00FA0AAD" w:rsidRDefault="00FA0AAD" w:rsidP="00FA0AAD">
      <w:pPr>
        <w:ind w:left="360" w:right="-330"/>
        <w:rPr>
          <w:rFonts w:ascii="Arial" w:eastAsia="Frutiger" w:hAnsi="Arial" w:cs="Arial"/>
          <w:sz w:val="24"/>
          <w:szCs w:val="24"/>
        </w:rPr>
      </w:pPr>
    </w:p>
    <w:p w:rsidR="00317B11" w:rsidRPr="00FA0AAD" w:rsidRDefault="00317B11" w:rsidP="00FA0AAD">
      <w:pPr>
        <w:ind w:left="426" w:hanging="426"/>
        <w:rPr>
          <w:rFonts w:ascii="Arial" w:hAnsi="Arial" w:cs="Arial"/>
          <w:b/>
          <w:sz w:val="24"/>
          <w:szCs w:val="24"/>
        </w:rPr>
      </w:pPr>
      <w:r w:rsidRPr="00FA0AAD">
        <w:rPr>
          <w:rFonts w:ascii="Arial" w:hAnsi="Arial" w:cs="Arial"/>
          <w:b/>
          <w:sz w:val="24"/>
          <w:szCs w:val="24"/>
        </w:rPr>
        <w:t>2.2</w:t>
      </w:r>
      <w:r w:rsidRPr="00FA0AAD">
        <w:rPr>
          <w:rFonts w:ascii="Arial" w:hAnsi="Arial" w:cs="Arial"/>
          <w:b/>
          <w:sz w:val="24"/>
          <w:szCs w:val="24"/>
        </w:rPr>
        <w:tab/>
        <w:t xml:space="preserve">Local Engagement </w:t>
      </w:r>
    </w:p>
    <w:p w:rsidR="00FA0AAD" w:rsidRPr="00FA0AAD" w:rsidRDefault="00FA0AAD" w:rsidP="00FA0AAD">
      <w:pPr>
        <w:rPr>
          <w:rFonts w:ascii="Arial" w:hAnsi="Arial" w:cs="Arial"/>
          <w:sz w:val="24"/>
          <w:szCs w:val="24"/>
        </w:rPr>
      </w:pPr>
      <w:r w:rsidRPr="00FA0AAD">
        <w:rPr>
          <w:rFonts w:ascii="Arial" w:hAnsi="Arial" w:cs="Arial"/>
          <w:sz w:val="24"/>
          <w:szCs w:val="24"/>
        </w:rPr>
        <w:t xml:space="preserve">Local patients, carers and stakeholders were invited to a share their views at a listening event held at the Independent Living Centre in Cheltenham.  </w:t>
      </w:r>
      <w:r w:rsidR="00E03A23">
        <w:rPr>
          <w:rFonts w:ascii="Arial" w:hAnsi="Arial" w:cs="Arial"/>
          <w:sz w:val="24"/>
          <w:szCs w:val="24"/>
        </w:rPr>
        <w:t>Views already collected from service users w</w:t>
      </w:r>
      <w:r w:rsidRPr="00FA0AAD">
        <w:rPr>
          <w:rFonts w:ascii="Arial" w:hAnsi="Arial" w:cs="Arial"/>
          <w:sz w:val="24"/>
          <w:szCs w:val="24"/>
        </w:rPr>
        <w:t xml:space="preserve">ere posted around the walls of the main room and attendees were invited to comment on these. The engagement team supported </w:t>
      </w:r>
      <w:r w:rsidR="00E03A23">
        <w:rPr>
          <w:rFonts w:ascii="Arial" w:hAnsi="Arial" w:cs="Arial"/>
          <w:sz w:val="24"/>
          <w:szCs w:val="24"/>
        </w:rPr>
        <w:t>the</w:t>
      </w:r>
      <w:r w:rsidRPr="00FA0AAD">
        <w:rPr>
          <w:rFonts w:ascii="Arial" w:hAnsi="Arial" w:cs="Arial"/>
          <w:sz w:val="24"/>
          <w:szCs w:val="24"/>
        </w:rPr>
        <w:t xml:space="preserve"> event and </w:t>
      </w:r>
      <w:r w:rsidR="00E03A23">
        <w:rPr>
          <w:rFonts w:ascii="Arial" w:hAnsi="Arial" w:cs="Arial"/>
          <w:sz w:val="24"/>
          <w:szCs w:val="24"/>
        </w:rPr>
        <w:t>documented</w:t>
      </w:r>
      <w:r w:rsidRPr="00FA0AAD">
        <w:rPr>
          <w:rFonts w:ascii="Arial" w:hAnsi="Arial" w:cs="Arial"/>
          <w:sz w:val="24"/>
          <w:szCs w:val="24"/>
        </w:rPr>
        <w:t xml:space="preserve"> the feedback received.</w:t>
      </w:r>
    </w:p>
    <w:p w:rsidR="00FA0AAD" w:rsidRPr="00FA0AAD" w:rsidRDefault="00FA0AAD" w:rsidP="00FA0AAD">
      <w:pPr>
        <w:rPr>
          <w:rFonts w:ascii="Arial" w:hAnsi="Arial" w:cs="Arial"/>
          <w:sz w:val="24"/>
          <w:szCs w:val="24"/>
        </w:rPr>
      </w:pPr>
      <w:r w:rsidRPr="00FA0AAD">
        <w:rPr>
          <w:rFonts w:ascii="Arial" w:hAnsi="Arial" w:cs="Arial"/>
          <w:sz w:val="24"/>
          <w:szCs w:val="24"/>
        </w:rPr>
        <w:t xml:space="preserve">As part of the seat riser pilot, the engagement team </w:t>
      </w:r>
      <w:r w:rsidR="00E03A23">
        <w:rPr>
          <w:rFonts w:ascii="Arial" w:hAnsi="Arial" w:cs="Arial"/>
          <w:sz w:val="24"/>
          <w:szCs w:val="24"/>
        </w:rPr>
        <w:t xml:space="preserve">also </w:t>
      </w:r>
      <w:r w:rsidRPr="00FA0AAD">
        <w:rPr>
          <w:rFonts w:ascii="Arial" w:hAnsi="Arial" w:cs="Arial"/>
          <w:sz w:val="24"/>
          <w:szCs w:val="24"/>
        </w:rPr>
        <w:t xml:space="preserve">carried out </w:t>
      </w:r>
      <w:r w:rsidR="00E03A23">
        <w:rPr>
          <w:rFonts w:ascii="Arial" w:hAnsi="Arial" w:cs="Arial"/>
          <w:sz w:val="24"/>
          <w:szCs w:val="24"/>
        </w:rPr>
        <w:t xml:space="preserve">a number of </w:t>
      </w:r>
      <w:r w:rsidRPr="00FA0AAD">
        <w:rPr>
          <w:rFonts w:ascii="Arial" w:hAnsi="Arial" w:cs="Arial"/>
          <w:sz w:val="24"/>
          <w:szCs w:val="24"/>
        </w:rPr>
        <w:t>structured telephone interviews with service user</w:t>
      </w:r>
      <w:r w:rsidR="00E03A23">
        <w:rPr>
          <w:rFonts w:ascii="Arial" w:hAnsi="Arial" w:cs="Arial"/>
          <w:sz w:val="24"/>
          <w:szCs w:val="24"/>
        </w:rPr>
        <w:t xml:space="preserve">.  The information collected has informed the Service Improvement Plan. </w:t>
      </w:r>
      <w:r w:rsidRPr="00FA0AAD">
        <w:rPr>
          <w:rFonts w:ascii="Arial" w:hAnsi="Arial" w:cs="Arial"/>
          <w:sz w:val="24"/>
          <w:szCs w:val="24"/>
        </w:rPr>
        <w:t xml:space="preserve"> </w:t>
      </w:r>
    </w:p>
    <w:p w:rsidR="00317B11" w:rsidRPr="00FA0AAD" w:rsidRDefault="00317B11" w:rsidP="00442213">
      <w:pPr>
        <w:tabs>
          <w:tab w:val="left" w:pos="9214"/>
        </w:tabs>
        <w:spacing w:after="0" w:line="360" w:lineRule="auto"/>
        <w:ind w:right="-187"/>
        <w:rPr>
          <w:rFonts w:ascii="Arial" w:eastAsia="Frutiger" w:hAnsi="Arial" w:cs="Arial"/>
          <w:sz w:val="24"/>
          <w:szCs w:val="24"/>
        </w:rPr>
      </w:pPr>
      <w:r w:rsidRPr="00FA0AAD">
        <w:rPr>
          <w:rFonts w:ascii="Arial" w:eastAsia="Frutiger" w:hAnsi="Arial" w:cs="Arial"/>
          <w:sz w:val="24"/>
          <w:szCs w:val="24"/>
        </w:rPr>
        <w:t xml:space="preserve"> </w:t>
      </w:r>
    </w:p>
    <w:p w:rsidR="00317B11" w:rsidRPr="00581A08" w:rsidRDefault="00317B11" w:rsidP="00FA0AAD">
      <w:pPr>
        <w:ind w:left="426" w:hanging="426"/>
        <w:rPr>
          <w:rFonts w:ascii="Arial" w:hAnsi="Arial" w:cs="Arial"/>
          <w:b/>
          <w:color w:val="FF0000"/>
          <w:sz w:val="24"/>
          <w:szCs w:val="24"/>
        </w:rPr>
      </w:pPr>
      <w:r w:rsidRPr="00581A08">
        <w:rPr>
          <w:rFonts w:ascii="Arial" w:hAnsi="Arial" w:cs="Arial"/>
          <w:b/>
          <w:sz w:val="24"/>
          <w:szCs w:val="24"/>
        </w:rPr>
        <w:t>2.3</w:t>
      </w:r>
      <w:r w:rsidRPr="00581A08">
        <w:rPr>
          <w:rFonts w:ascii="Arial" w:hAnsi="Arial" w:cs="Arial"/>
          <w:b/>
          <w:sz w:val="24"/>
          <w:szCs w:val="24"/>
        </w:rPr>
        <w:tab/>
        <w:t>What we learned/outcome</w:t>
      </w:r>
      <w:r w:rsidR="001A06DD" w:rsidRPr="00581A08">
        <w:rPr>
          <w:rFonts w:ascii="Arial" w:hAnsi="Arial" w:cs="Arial"/>
          <w:b/>
          <w:sz w:val="24"/>
          <w:szCs w:val="24"/>
        </w:rPr>
        <w:t xml:space="preserve"> </w:t>
      </w:r>
    </w:p>
    <w:p w:rsidR="00FA0AAD" w:rsidRDefault="00581A08" w:rsidP="00FA0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</w:t>
      </w:r>
      <w:r w:rsidR="00FA0AAD" w:rsidRPr="00581A08">
        <w:rPr>
          <w:rFonts w:ascii="Arial" w:hAnsi="Arial" w:cs="Arial"/>
          <w:sz w:val="24"/>
          <w:szCs w:val="24"/>
        </w:rPr>
        <w:t xml:space="preserve">edback from the listening event and telephone interviews was taken into account in the Service Improvement Plan. </w:t>
      </w:r>
      <w:r>
        <w:rPr>
          <w:rFonts w:ascii="Arial" w:hAnsi="Arial" w:cs="Arial"/>
          <w:sz w:val="24"/>
          <w:szCs w:val="24"/>
        </w:rPr>
        <w:t xml:space="preserve"> Key themes included: </w:t>
      </w:r>
    </w:p>
    <w:p w:rsidR="00581A08" w:rsidRPr="00581A08" w:rsidRDefault="00581A08" w:rsidP="00581A08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81A08">
        <w:rPr>
          <w:rFonts w:ascii="Arial" w:hAnsi="Arial" w:cs="Arial"/>
          <w:sz w:val="24"/>
          <w:szCs w:val="24"/>
        </w:rPr>
        <w:t>taff are really helpful and knowledgeable</w:t>
      </w:r>
      <w:r>
        <w:rPr>
          <w:rFonts w:ascii="Arial" w:hAnsi="Arial" w:cs="Arial"/>
          <w:sz w:val="24"/>
          <w:szCs w:val="24"/>
        </w:rPr>
        <w:t xml:space="preserve"> – good continuity of care;</w:t>
      </w:r>
    </w:p>
    <w:p w:rsidR="00581A08" w:rsidRDefault="00581A08" w:rsidP="00581A08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81A08">
        <w:rPr>
          <w:rFonts w:ascii="Arial" w:hAnsi="Arial" w:cs="Arial"/>
          <w:sz w:val="24"/>
          <w:szCs w:val="24"/>
        </w:rPr>
        <w:t>ervice needs more capacity – reflected in wait</w:t>
      </w:r>
      <w:r>
        <w:rPr>
          <w:rFonts w:ascii="Arial" w:hAnsi="Arial" w:cs="Arial"/>
          <w:sz w:val="24"/>
          <w:szCs w:val="24"/>
        </w:rPr>
        <w:t xml:space="preserve"> times</w:t>
      </w:r>
      <w:r w:rsidRPr="00581A08">
        <w:rPr>
          <w:rFonts w:ascii="Arial" w:hAnsi="Arial" w:cs="Arial"/>
          <w:sz w:val="24"/>
          <w:szCs w:val="24"/>
        </w:rPr>
        <w:t xml:space="preserve"> for appointments</w:t>
      </w:r>
      <w:r>
        <w:rPr>
          <w:rFonts w:ascii="Arial" w:hAnsi="Arial" w:cs="Arial"/>
          <w:sz w:val="24"/>
          <w:szCs w:val="24"/>
        </w:rPr>
        <w:t>;</w:t>
      </w:r>
    </w:p>
    <w:p w:rsidR="00581A08" w:rsidRDefault="00581A08" w:rsidP="00581A08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581A08">
        <w:rPr>
          <w:rFonts w:ascii="Arial" w:hAnsi="Arial" w:cs="Arial"/>
          <w:sz w:val="24"/>
          <w:szCs w:val="24"/>
        </w:rPr>
        <w:t xml:space="preserve">mportant to assess the environment that the </w:t>
      </w:r>
      <w:r>
        <w:rPr>
          <w:rFonts w:ascii="Arial" w:hAnsi="Arial" w:cs="Arial"/>
          <w:sz w:val="24"/>
          <w:szCs w:val="24"/>
        </w:rPr>
        <w:t>wheel</w:t>
      </w:r>
      <w:r w:rsidRPr="00581A08">
        <w:rPr>
          <w:rFonts w:ascii="Arial" w:hAnsi="Arial" w:cs="Arial"/>
          <w:sz w:val="24"/>
          <w:szCs w:val="24"/>
        </w:rPr>
        <w:t>chair will be used in</w:t>
      </w:r>
      <w:r>
        <w:rPr>
          <w:rFonts w:ascii="Arial" w:hAnsi="Arial" w:cs="Arial"/>
          <w:sz w:val="24"/>
          <w:szCs w:val="24"/>
        </w:rPr>
        <w:t>;</w:t>
      </w:r>
    </w:p>
    <w:p w:rsidR="00581A08" w:rsidRPr="00581A08" w:rsidRDefault="00581A08" w:rsidP="00581A08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always clear how to access the service.</w:t>
      </w:r>
    </w:p>
    <w:p w:rsidR="00581A08" w:rsidRPr="00581A08" w:rsidRDefault="00581A08" w:rsidP="0044221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7B11" w:rsidRPr="00581A08" w:rsidRDefault="00317B11" w:rsidP="00FA0AAD">
      <w:pPr>
        <w:ind w:left="426" w:right="-188" w:hanging="426"/>
        <w:rPr>
          <w:rFonts w:ascii="Arial" w:hAnsi="Arial" w:cs="Arial"/>
          <w:b/>
          <w:sz w:val="24"/>
          <w:szCs w:val="24"/>
        </w:rPr>
      </w:pPr>
      <w:r w:rsidRPr="00581A08">
        <w:rPr>
          <w:rFonts w:ascii="Arial" w:hAnsi="Arial" w:cs="Arial"/>
          <w:b/>
          <w:sz w:val="24"/>
          <w:szCs w:val="24"/>
        </w:rPr>
        <w:t>2.4 The next steps</w:t>
      </w:r>
      <w:r w:rsidRPr="00581A08">
        <w:rPr>
          <w:rFonts w:ascii="Arial" w:hAnsi="Arial" w:cs="Arial"/>
          <w:b/>
          <w:sz w:val="24"/>
          <w:szCs w:val="24"/>
        </w:rPr>
        <w:tab/>
      </w:r>
    </w:p>
    <w:p w:rsidR="00FA0AAD" w:rsidRPr="00FA0AAD" w:rsidRDefault="00FA0AAD" w:rsidP="00FA0AAD">
      <w:pPr>
        <w:rPr>
          <w:rFonts w:ascii="Arial" w:hAnsi="Arial" w:cs="Arial"/>
          <w:sz w:val="24"/>
          <w:szCs w:val="24"/>
        </w:rPr>
      </w:pPr>
      <w:r w:rsidRPr="00581A08">
        <w:rPr>
          <w:rFonts w:ascii="Arial" w:hAnsi="Arial" w:cs="Arial"/>
          <w:sz w:val="24"/>
          <w:szCs w:val="24"/>
        </w:rPr>
        <w:t xml:space="preserve">The pilot has now concluded. Patient feedback and views </w:t>
      </w:r>
      <w:r w:rsidR="00581A08" w:rsidRPr="00581A08">
        <w:rPr>
          <w:rFonts w:ascii="Arial" w:hAnsi="Arial" w:cs="Arial"/>
          <w:sz w:val="24"/>
          <w:szCs w:val="24"/>
        </w:rPr>
        <w:t xml:space="preserve">will inform further development of future services. </w:t>
      </w:r>
      <w:r w:rsidRPr="00581A08">
        <w:rPr>
          <w:rFonts w:ascii="Arial" w:hAnsi="Arial" w:cs="Arial"/>
          <w:sz w:val="24"/>
          <w:szCs w:val="24"/>
        </w:rPr>
        <w:t xml:space="preserve"> </w:t>
      </w:r>
    </w:p>
    <w:p w:rsidR="00317B11" w:rsidRDefault="00317B11" w:rsidP="00317B11">
      <w:pPr>
        <w:spacing w:after="0"/>
        <w:ind w:right="-18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17B11" w:rsidSect="005108E3">
      <w:headerReference w:type="default" r:id="rId10"/>
      <w:footerReference w:type="default" r:id="rId11"/>
      <w:pgSz w:w="11906" w:h="16838"/>
      <w:pgMar w:top="1134" w:right="1440" w:bottom="567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11" w:rsidRDefault="00317B11" w:rsidP="00317B11">
      <w:pPr>
        <w:spacing w:after="0" w:line="240" w:lineRule="auto"/>
      </w:pPr>
      <w:r>
        <w:separator/>
      </w:r>
    </w:p>
  </w:endnote>
  <w:endnote w:type="continuationSeparator" w:id="0">
    <w:p w:rsidR="00317B11" w:rsidRDefault="00317B11" w:rsidP="0031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66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592" w:rsidRDefault="00402454" w:rsidP="00CB06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0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3592" w:rsidRDefault="00533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11" w:rsidRDefault="00317B11" w:rsidP="00317B11">
      <w:pPr>
        <w:spacing w:after="0" w:line="240" w:lineRule="auto"/>
      </w:pPr>
      <w:r>
        <w:separator/>
      </w:r>
    </w:p>
  </w:footnote>
  <w:footnote w:type="continuationSeparator" w:id="0">
    <w:p w:rsidR="00317B11" w:rsidRDefault="00317B11" w:rsidP="0031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92" w:rsidRDefault="005330B9">
    <w:pPr>
      <w:pStyle w:val="Header"/>
      <w:jc w:val="center"/>
    </w:pPr>
  </w:p>
  <w:p w:rsidR="00503592" w:rsidRDefault="005330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985"/>
    <w:multiLevelType w:val="hybridMultilevel"/>
    <w:tmpl w:val="05EC9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58AD"/>
    <w:multiLevelType w:val="hybridMultilevel"/>
    <w:tmpl w:val="4B708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84E"/>
    <w:multiLevelType w:val="hybridMultilevel"/>
    <w:tmpl w:val="6AF2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926FD"/>
    <w:multiLevelType w:val="hybridMultilevel"/>
    <w:tmpl w:val="D8467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C2C14"/>
    <w:multiLevelType w:val="hybridMultilevel"/>
    <w:tmpl w:val="4F9C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F3C2F"/>
    <w:multiLevelType w:val="hybridMultilevel"/>
    <w:tmpl w:val="2CECD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1213E"/>
    <w:multiLevelType w:val="hybridMultilevel"/>
    <w:tmpl w:val="FDEE3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837A3"/>
    <w:multiLevelType w:val="hybridMultilevel"/>
    <w:tmpl w:val="426EDE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4F2A56"/>
    <w:multiLevelType w:val="hybridMultilevel"/>
    <w:tmpl w:val="C97A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C3954"/>
    <w:multiLevelType w:val="hybridMultilevel"/>
    <w:tmpl w:val="05D63ADE"/>
    <w:lvl w:ilvl="0" w:tplc="4F2EF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06B6D"/>
    <w:multiLevelType w:val="hybridMultilevel"/>
    <w:tmpl w:val="5914F1BE"/>
    <w:lvl w:ilvl="0" w:tplc="173499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7425A8">
      <w:start w:val="6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D5855"/>
    <w:multiLevelType w:val="hybridMultilevel"/>
    <w:tmpl w:val="91FE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F4915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38CC5D9A">
      <w:start w:val="61"/>
      <w:numFmt w:val="bullet"/>
      <w:lvlText w:val="•"/>
      <w:lvlJc w:val="left"/>
      <w:pPr>
        <w:ind w:left="2520" w:hanging="720"/>
      </w:pPr>
      <w:rPr>
        <w:rFonts w:ascii="Arial" w:eastAsiaTheme="minorEastAsia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40D59"/>
    <w:multiLevelType w:val="hybridMultilevel"/>
    <w:tmpl w:val="8E4A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5763B"/>
    <w:multiLevelType w:val="hybridMultilevel"/>
    <w:tmpl w:val="A336B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20CCE"/>
    <w:multiLevelType w:val="hybridMultilevel"/>
    <w:tmpl w:val="F0408B72"/>
    <w:lvl w:ilvl="0" w:tplc="4F2EF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00026"/>
    <w:multiLevelType w:val="hybridMultilevel"/>
    <w:tmpl w:val="22A0B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336B1"/>
    <w:multiLevelType w:val="hybridMultilevel"/>
    <w:tmpl w:val="BFC6C2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48D6733"/>
    <w:multiLevelType w:val="hybridMultilevel"/>
    <w:tmpl w:val="C2CA3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F4915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51C00"/>
    <w:multiLevelType w:val="hybridMultilevel"/>
    <w:tmpl w:val="A4583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D1889"/>
    <w:multiLevelType w:val="hybridMultilevel"/>
    <w:tmpl w:val="00065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7B42E0"/>
    <w:multiLevelType w:val="hybridMultilevel"/>
    <w:tmpl w:val="86248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E5E56"/>
    <w:multiLevelType w:val="hybridMultilevel"/>
    <w:tmpl w:val="9CE4429A"/>
    <w:lvl w:ilvl="0" w:tplc="4F2EF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0523E"/>
    <w:multiLevelType w:val="hybridMultilevel"/>
    <w:tmpl w:val="C7D844D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717A1BFA"/>
    <w:multiLevelType w:val="hybridMultilevel"/>
    <w:tmpl w:val="86AE5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4602C"/>
    <w:multiLevelType w:val="hybridMultilevel"/>
    <w:tmpl w:val="9604B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73566"/>
    <w:multiLevelType w:val="hybridMultilevel"/>
    <w:tmpl w:val="753AB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654FA"/>
    <w:multiLevelType w:val="hybridMultilevel"/>
    <w:tmpl w:val="65B06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D1E15"/>
    <w:multiLevelType w:val="hybridMultilevel"/>
    <w:tmpl w:val="6F78B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27"/>
  </w:num>
  <w:num w:numId="8">
    <w:abstractNumId w:val="15"/>
  </w:num>
  <w:num w:numId="9">
    <w:abstractNumId w:val="11"/>
  </w:num>
  <w:num w:numId="10">
    <w:abstractNumId w:val="12"/>
  </w:num>
  <w:num w:numId="11">
    <w:abstractNumId w:val="19"/>
  </w:num>
  <w:num w:numId="12">
    <w:abstractNumId w:val="5"/>
  </w:num>
  <w:num w:numId="13">
    <w:abstractNumId w:val="6"/>
  </w:num>
  <w:num w:numId="14">
    <w:abstractNumId w:val="26"/>
  </w:num>
  <w:num w:numId="15">
    <w:abstractNumId w:val="14"/>
  </w:num>
  <w:num w:numId="16">
    <w:abstractNumId w:val="9"/>
  </w:num>
  <w:num w:numId="17">
    <w:abstractNumId w:val="21"/>
  </w:num>
  <w:num w:numId="18">
    <w:abstractNumId w:val="18"/>
  </w:num>
  <w:num w:numId="19">
    <w:abstractNumId w:val="25"/>
  </w:num>
  <w:num w:numId="20">
    <w:abstractNumId w:val="13"/>
  </w:num>
  <w:num w:numId="21">
    <w:abstractNumId w:val="17"/>
  </w:num>
  <w:num w:numId="22">
    <w:abstractNumId w:val="22"/>
  </w:num>
  <w:num w:numId="23">
    <w:abstractNumId w:val="24"/>
  </w:num>
  <w:num w:numId="24">
    <w:abstractNumId w:val="8"/>
  </w:num>
  <w:num w:numId="25">
    <w:abstractNumId w:val="2"/>
  </w:num>
  <w:num w:numId="26">
    <w:abstractNumId w:val="1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11"/>
    <w:rsid w:val="0006487A"/>
    <w:rsid w:val="00076989"/>
    <w:rsid w:val="00082D72"/>
    <w:rsid w:val="000A518E"/>
    <w:rsid w:val="000A727B"/>
    <w:rsid w:val="000D6940"/>
    <w:rsid w:val="000F56D5"/>
    <w:rsid w:val="000F784B"/>
    <w:rsid w:val="001274E4"/>
    <w:rsid w:val="001509D8"/>
    <w:rsid w:val="00154D75"/>
    <w:rsid w:val="00156D33"/>
    <w:rsid w:val="00182C64"/>
    <w:rsid w:val="0019442D"/>
    <w:rsid w:val="001A06DD"/>
    <w:rsid w:val="001A3BCD"/>
    <w:rsid w:val="001A4B46"/>
    <w:rsid w:val="001C34DC"/>
    <w:rsid w:val="00211B58"/>
    <w:rsid w:val="002230D8"/>
    <w:rsid w:val="002467DD"/>
    <w:rsid w:val="0026153B"/>
    <w:rsid w:val="00271F39"/>
    <w:rsid w:val="00294529"/>
    <w:rsid w:val="002A6FE8"/>
    <w:rsid w:val="002B0E27"/>
    <w:rsid w:val="002D2E6F"/>
    <w:rsid w:val="00307662"/>
    <w:rsid w:val="00312201"/>
    <w:rsid w:val="00317B11"/>
    <w:rsid w:val="0032060C"/>
    <w:rsid w:val="00347075"/>
    <w:rsid w:val="00353368"/>
    <w:rsid w:val="00376674"/>
    <w:rsid w:val="003A2626"/>
    <w:rsid w:val="003A618B"/>
    <w:rsid w:val="003B1186"/>
    <w:rsid w:val="003C5281"/>
    <w:rsid w:val="003E16E9"/>
    <w:rsid w:val="00402454"/>
    <w:rsid w:val="0042185C"/>
    <w:rsid w:val="00442213"/>
    <w:rsid w:val="00443AE4"/>
    <w:rsid w:val="004730C6"/>
    <w:rsid w:val="0048065B"/>
    <w:rsid w:val="00496E4C"/>
    <w:rsid w:val="004A5190"/>
    <w:rsid w:val="004B4164"/>
    <w:rsid w:val="004B7C78"/>
    <w:rsid w:val="00501B93"/>
    <w:rsid w:val="005330B9"/>
    <w:rsid w:val="00556720"/>
    <w:rsid w:val="00566457"/>
    <w:rsid w:val="00571C2E"/>
    <w:rsid w:val="00581A08"/>
    <w:rsid w:val="005B7468"/>
    <w:rsid w:val="005D5804"/>
    <w:rsid w:val="005F534B"/>
    <w:rsid w:val="00611776"/>
    <w:rsid w:val="0062718F"/>
    <w:rsid w:val="00636029"/>
    <w:rsid w:val="006376B5"/>
    <w:rsid w:val="00640458"/>
    <w:rsid w:val="00687F4B"/>
    <w:rsid w:val="006C5364"/>
    <w:rsid w:val="006D1A06"/>
    <w:rsid w:val="006D4ED6"/>
    <w:rsid w:val="006E7730"/>
    <w:rsid w:val="00701BF6"/>
    <w:rsid w:val="00707813"/>
    <w:rsid w:val="00712A32"/>
    <w:rsid w:val="00755BC6"/>
    <w:rsid w:val="00763ED2"/>
    <w:rsid w:val="00773BFE"/>
    <w:rsid w:val="007757BB"/>
    <w:rsid w:val="00780269"/>
    <w:rsid w:val="00781686"/>
    <w:rsid w:val="007B695D"/>
    <w:rsid w:val="007D1004"/>
    <w:rsid w:val="007D1DAF"/>
    <w:rsid w:val="008234DF"/>
    <w:rsid w:val="008446B9"/>
    <w:rsid w:val="00874C47"/>
    <w:rsid w:val="0090336B"/>
    <w:rsid w:val="00906362"/>
    <w:rsid w:val="009132DE"/>
    <w:rsid w:val="00976CDD"/>
    <w:rsid w:val="009D7686"/>
    <w:rsid w:val="009F6185"/>
    <w:rsid w:val="00A300DB"/>
    <w:rsid w:val="00A45D73"/>
    <w:rsid w:val="00A703AE"/>
    <w:rsid w:val="00A86488"/>
    <w:rsid w:val="00A86E15"/>
    <w:rsid w:val="00A9161E"/>
    <w:rsid w:val="00AA022F"/>
    <w:rsid w:val="00AC1352"/>
    <w:rsid w:val="00AD2FCA"/>
    <w:rsid w:val="00AD6383"/>
    <w:rsid w:val="00B328A5"/>
    <w:rsid w:val="00B5772E"/>
    <w:rsid w:val="00BB5992"/>
    <w:rsid w:val="00BC3C51"/>
    <w:rsid w:val="00BD390E"/>
    <w:rsid w:val="00BD4A77"/>
    <w:rsid w:val="00BF183E"/>
    <w:rsid w:val="00C050DA"/>
    <w:rsid w:val="00C17AB1"/>
    <w:rsid w:val="00C37638"/>
    <w:rsid w:val="00C46034"/>
    <w:rsid w:val="00C54CA6"/>
    <w:rsid w:val="00C63E26"/>
    <w:rsid w:val="00C72C49"/>
    <w:rsid w:val="00C8596E"/>
    <w:rsid w:val="00C971E8"/>
    <w:rsid w:val="00CC758E"/>
    <w:rsid w:val="00CD7AEE"/>
    <w:rsid w:val="00D12B80"/>
    <w:rsid w:val="00D13B7B"/>
    <w:rsid w:val="00D21545"/>
    <w:rsid w:val="00D25CA3"/>
    <w:rsid w:val="00D31F3A"/>
    <w:rsid w:val="00D3314B"/>
    <w:rsid w:val="00D36A3D"/>
    <w:rsid w:val="00D43DA0"/>
    <w:rsid w:val="00D46C0A"/>
    <w:rsid w:val="00DB76F4"/>
    <w:rsid w:val="00DE2306"/>
    <w:rsid w:val="00DE5024"/>
    <w:rsid w:val="00DE67E2"/>
    <w:rsid w:val="00E03A23"/>
    <w:rsid w:val="00E041F8"/>
    <w:rsid w:val="00E15FA5"/>
    <w:rsid w:val="00E26EF3"/>
    <w:rsid w:val="00E406D8"/>
    <w:rsid w:val="00E66301"/>
    <w:rsid w:val="00EB1721"/>
    <w:rsid w:val="00EB7ED0"/>
    <w:rsid w:val="00EC0D4C"/>
    <w:rsid w:val="00ED0252"/>
    <w:rsid w:val="00F2737D"/>
    <w:rsid w:val="00F63962"/>
    <w:rsid w:val="00FA0AAD"/>
    <w:rsid w:val="00FC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B1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7B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B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B1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11"/>
  </w:style>
  <w:style w:type="paragraph" w:styleId="Footer">
    <w:name w:val="footer"/>
    <w:basedOn w:val="Normal"/>
    <w:link w:val="FooterChar"/>
    <w:uiPriority w:val="99"/>
    <w:unhideWhenUsed/>
    <w:rsid w:val="0031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11"/>
  </w:style>
  <w:style w:type="paragraph" w:customStyle="1" w:styleId="Default">
    <w:name w:val="Default"/>
    <w:rsid w:val="00317B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050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B1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7B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B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B1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11"/>
  </w:style>
  <w:style w:type="paragraph" w:styleId="Footer">
    <w:name w:val="footer"/>
    <w:basedOn w:val="Normal"/>
    <w:link w:val="FooterChar"/>
    <w:uiPriority w:val="99"/>
    <w:unhideWhenUsed/>
    <w:rsid w:val="0031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11"/>
  </w:style>
  <w:style w:type="paragraph" w:customStyle="1" w:styleId="Default">
    <w:name w:val="Default"/>
    <w:rsid w:val="00317B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05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ucestershireccg.nhs.uk/feedbac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Administrator</cp:lastModifiedBy>
  <cp:revision>3</cp:revision>
  <dcterms:created xsi:type="dcterms:W3CDTF">2017-02-01T18:28:00Z</dcterms:created>
  <dcterms:modified xsi:type="dcterms:W3CDTF">2017-02-01T18:30:00Z</dcterms:modified>
</cp:coreProperties>
</file>