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6135" w:rsidRPr="000761AB" w:rsidRDefault="00A5089D" w:rsidP="00CE088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cs="Arial"/>
          <w:b/>
          <w:i/>
          <w:noProof/>
          <w:color w:val="FFFFFF" w:themeColor="background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1DCC3DB" wp14:editId="0D5248C8">
                <wp:simplePos x="0" y="0"/>
                <wp:positionH relativeFrom="column">
                  <wp:posOffset>3657600</wp:posOffset>
                </wp:positionH>
                <wp:positionV relativeFrom="paragraph">
                  <wp:posOffset>19050</wp:posOffset>
                </wp:positionV>
                <wp:extent cx="5610613" cy="2148840"/>
                <wp:effectExtent l="0" t="0" r="28575" b="2286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613" cy="2148840"/>
                          <a:chOff x="0" y="0"/>
                          <a:chExt cx="5444490" cy="2252384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50488" y="1078448"/>
                            <a:ext cx="5325894" cy="332105"/>
                          </a:xfrm>
                          <a:prstGeom prst="roundRect">
                            <a:avLst/>
                          </a:prstGeom>
                          <a:solidFill>
                            <a:srgbClr val="FFCCCC">
                              <a:alpha val="74902"/>
                            </a:srgbClr>
                          </a:solidFill>
                          <a:ln w="25400" cap="flat" cmpd="sng" algn="ctr">
                            <a:solidFill>
                              <a:srgbClr val="FFCCCC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113" w:rsidRPr="00F1235A" w:rsidRDefault="00F21EEB" w:rsidP="00A0409B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142" w:hanging="284"/>
                                <w:rPr>
                                  <w:rFonts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F21EEB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Integrated Care includ</w:t>
                              </w:r>
                              <w:r w:rsidR="00140DC6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ing</w:t>
                              </w:r>
                              <w:r w:rsidRPr="00F21EEB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shared records. </w:t>
                              </w:r>
                              <w:r w:rsidRPr="00F21EE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This work-stream will develop secure patient / client record sharing across the Health &amp; Care Community (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with appropriate I</w:t>
                              </w:r>
                              <w:r w:rsidR="001341C5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nfo. 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G</w:t>
                              </w:r>
                              <w:r w:rsidR="001341C5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overnance</w:t>
                              </w:r>
                              <w:r w:rsidR="0063275E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(IG)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)</w:t>
                              </w:r>
                              <w:r w:rsidRPr="00F21EE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8D37B6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under </w:t>
                              </w:r>
                              <w:r w:rsidRPr="00F21EE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the principles of</w:t>
                              </w:r>
                              <w:r w:rsidRPr="00F21EEB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21EE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integration and interoperability.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47353" y="696803"/>
                            <a:ext cx="5325267" cy="330121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  <a:alpha val="75000"/>
                            </a:schemeClr>
                          </a:solidFill>
                          <a:ln w="25400" cap="flat" cmpd="sng" algn="ctr">
                            <a:solidFill>
                              <a:schemeClr val="accent1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113" w:rsidRPr="00735CA5" w:rsidRDefault="00735CA5" w:rsidP="007226F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/>
                                <w:ind w:left="142" w:hanging="284"/>
                                <w:rPr>
                                  <w:rFonts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735CA5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Commissioning Enablement. </w:t>
                              </w:r>
                              <w:r w:rsidRPr="00735CA5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Fundamental to our Care Pathways work programme this work-stream will include clinician decision support tools, commissioning intelligence, knowledge management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and corporate e-communications.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47352" y="1459542"/>
                            <a:ext cx="5325894" cy="357799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  <a:alpha val="75000"/>
                            </a:schemeClr>
                          </a:solidFill>
                          <a:ln w="25400" cap="flat" cmpd="sng" algn="ctr"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113" w:rsidRPr="00F1235A" w:rsidRDefault="00F53109" w:rsidP="00A0409B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/>
                                <w:ind w:left="142" w:hanging="284"/>
                                <w:rPr>
                                  <w:rFonts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F53109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Patient and Citizen Empowerment.</w:t>
                              </w:r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Fundamental to the self-care agenda this work</w:t>
                              </w:r>
                              <w:r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stream will </w:t>
                              </w:r>
                              <w:r w:rsidR="00100BCC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establish</w:t>
                              </w:r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gramStart"/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a the</w:t>
                              </w:r>
                              <w:proofErr w:type="gramEnd"/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range of tools and techniques to provide information, feedback or support (such as the use of telehealth, social media and texting</w:t>
                              </w:r>
                              <w:r w:rsidRPr="00F53109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53109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services).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47501" y="1871113"/>
                            <a:ext cx="5325745" cy="33210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  <a:alpha val="75000"/>
                            </a:schemeClr>
                          </a:solidFill>
                          <a:ln w="25400" cap="flat" cmpd="sng" algn="ctr"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134113" w:rsidRPr="007226FC" w:rsidRDefault="007226FC" w:rsidP="00A0409B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spacing w:after="0"/>
                                <w:ind w:left="142" w:hanging="284"/>
                                <w:rPr>
                                  <w:rFonts w:cs="Arial"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7226FC">
                                <w:rPr>
                                  <w:rFonts w:cs="Arial"/>
                                  <w:b/>
                                  <w:i/>
                                  <w:sz w:val="16"/>
                                  <w:szCs w:val="16"/>
                                </w:rPr>
                                <w:t>Enabling Infrastructure.</w:t>
                              </w:r>
                              <w:r w:rsidRPr="007226FC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This will be developed as required to support the other work-streams, and covers Information Governance, data</w:t>
                              </w:r>
                              <w:r w:rsidR="00A0409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standards, Informatics and IT</w:t>
                              </w:r>
                              <w:r w:rsidRPr="007226FC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A0409B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upport services, training and I</w:t>
                              </w:r>
                              <w:r w:rsidRPr="007226FC">
                                <w:rPr>
                                  <w:rFonts w:cs="Arial"/>
                                  <w:i/>
                                  <w:sz w:val="16"/>
                                  <w:szCs w:val="16"/>
                                </w:rPr>
                                <w:t>T infrastructure.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0" y="1"/>
                            <a:ext cx="5444490" cy="2252383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5444490" cy="34307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5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8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9640F" w:rsidRPr="00BD48B6" w:rsidRDefault="00D9640F" w:rsidP="00D9640F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8B6">
                                <w:rPr>
                                  <w:rFonts w:cs="Arial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Our IM&amp;T </w:t>
                              </w:r>
                              <w:r w:rsidR="00B52462">
                                <w:rPr>
                                  <w:rFonts w:cs="Arial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47498" y="399903"/>
                            <a:ext cx="5325745" cy="22341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254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D9640F" w:rsidRPr="00A0409B" w:rsidRDefault="00D66E5F" w:rsidP="00D9640F">
                              <w:pPr>
                                <w:rPr>
                                  <w:color w:val="17365D" w:themeColor="text2" w:themeShade="BF"/>
                                </w:rPr>
                              </w:pPr>
                              <w:r w:rsidRPr="00A0409B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 xml:space="preserve">To turn the vision into reality </w:t>
                              </w:r>
                              <w:r w:rsidR="008D37B6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requires</w:t>
                              </w:r>
                              <w:r w:rsidR="007226FC" w:rsidRPr="00A0409B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 xml:space="preserve"> the </w:t>
                              </w:r>
                              <w:r w:rsidR="00A5089D" w:rsidRPr="00A0409B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following work-streams</w:t>
                              </w:r>
                              <w:r w:rsidRPr="00A0409B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in;margin-top:1.5pt;width:441.8pt;height:169.2pt;z-index:251677696;mso-width-relative:margin;mso-height-relative:margin" coordsize="54444,2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">
                <v:roundrect id="Rounded Rectangle 9" o:spid="_x0000_s1027" style="position:absolute;left:504;top:10784;width:53259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fXwcMA&#10;AADaAAAADwAAAGRycy9kb3ducmV2LnhtbESPT2vCQBTE74LfYXlCL9JszMHW1FX8Q8BLD40Fr4/s&#10;M5s2+zZkV02/vVsQPA4z8xtmuR5sK67U+8axglmSgiCunG64VvB9LF7fQfiArLF1TAr+yMN6NR4t&#10;Mdfuxl90LUMtIoR9jgpMCF0upa8MWfSJ64ijd3a9xRBlX0vd4y3CbSuzNJ1Liw3HBYMd7QxVv+XF&#10;KujCSX5m55+Dzd62hdmW0+KyJ6VeJsPmA0SgITzDj/ZBK1jA/5V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fXwcMAAADaAAAADwAAAAAAAAAAAAAAAACYAgAAZHJzL2Rv&#10;d25yZXYueG1sUEsFBgAAAAAEAAQA9QAAAIgDAAAAAA==&#10;" fillcolor="#fcc" strokecolor="#fcc" strokeweight="2pt">
                  <v:fill opacity="49087f"/>
                  <v:textbox inset=",0,,0">
                    <w:txbxContent>
                      <w:p w:rsidR="00134113" w:rsidRPr="00F1235A" w:rsidRDefault="00F21EEB" w:rsidP="00A0409B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/>
                          <w:ind w:left="142" w:hanging="284"/>
                          <w:rPr>
                            <w:rFonts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F21EEB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>Integrated Care includ</w:t>
                        </w:r>
                        <w:r w:rsidR="00140DC6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>ing</w:t>
                        </w:r>
                        <w:r w:rsidRPr="00F21EEB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 xml:space="preserve"> shared records. </w:t>
                        </w:r>
                        <w:r w:rsidRPr="00F21EE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This work-stream will develop secure patient / client record sharing across the Health &amp; Care Community (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with appropriate I</w:t>
                        </w:r>
                        <w:r w:rsidR="001341C5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nfo. 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G</w:t>
                        </w:r>
                        <w:r w:rsidR="001341C5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overnance</w:t>
                        </w:r>
                        <w:r w:rsidR="0063275E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(IG)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)</w:t>
                        </w:r>
                        <w:r w:rsidRPr="00F21EE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="008D37B6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under </w:t>
                        </w:r>
                        <w:r w:rsidRPr="00F21EE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the principles of</w:t>
                        </w:r>
                        <w:r w:rsidRPr="00F21EEB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F21EE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integration and interoperability.</w:t>
                        </w:r>
                      </w:p>
                    </w:txbxContent>
                  </v:textbox>
                </v:roundrect>
                <v:roundrect id="Rounded Rectangle 10" o:spid="_x0000_s1028" style="position:absolute;left:473;top:6968;width:53253;height:33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ODcUA&#10;AADbAAAADwAAAGRycy9kb3ducmV2LnhtbESPT2sCQQzF7wW/wxDBW5210qKro4hQsEip/w56Cztx&#10;d3Ens+xMdfrtm0Oht4T38t4v82VyjbpTF2rPBkbDDBRx4W3NpYHT8f15AipEZIuNZzLwQwGWi97T&#10;HHPrH7yn+yGWSkI45GigirHNtQ5FRQ7D0LfEol195zDK2pXadviQcNfolyx70w5rloYKW1pXVNwO&#10;387AxX++jpPPPrZf0+vOnrbnNG03xgz6aTUDFSnFf/Pf9cYKvtDL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s4NxQAAANsAAAAPAAAAAAAAAAAAAAAAAJgCAABkcnMv&#10;ZG93bnJldi54bWxQSwUGAAAAAAQABAD1AAAAigMAAAAA&#10;" fillcolor="#b8cce4 [1300]" strokecolor="#b8cce4 [1300]" strokeweight="2pt">
                  <v:fill opacity="49087f"/>
                  <v:textbox inset=",0,,0">
                    <w:txbxContent>
                      <w:p w:rsidR="00134113" w:rsidRPr="00735CA5" w:rsidRDefault="00735CA5" w:rsidP="007226F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/>
                          <w:ind w:left="142" w:hanging="284"/>
                          <w:rPr>
                            <w:rFonts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735CA5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 xml:space="preserve">Commissioning Enablement. </w:t>
                        </w:r>
                        <w:r w:rsidRPr="00735CA5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Fundamental to our Care Pathways work programme this work-stream will include clinician decision support tools, commissioning intelligence, knowledge management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and corporate e-communications.</w:t>
                        </w:r>
                      </w:p>
                    </w:txbxContent>
                  </v:textbox>
                </v:roundrect>
                <v:roundrect id="Rounded Rectangle 13" o:spid="_x0000_s1029" style="position:absolute;left:473;top:14595;width:53259;height:35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g7MAA&#10;AADbAAAADwAAAGRycy9kb3ducmV2LnhtbERP3WrCMBS+H/gO4Qi7m4ktG1KNIuJgF27gzwMckmNb&#10;bE5Kk7X17Y0w2N35+H7PajO6RvTUhdqzhvlMgSA23tZcaricP98WIEJEtth4Jg13CrBZT15WWFg/&#10;8JH6UyxFCuFQoIYqxraQMpiKHIaZb4kTd/Wdw5hgV0rb4ZDCXSMzpT6kw5pTQ4Ut7Soyt9Ov0/C9&#10;V2c+5uo9u0j3Ew7N1UQjtX6djtsliEhj/Bf/ub9smp/D85d0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4g7MAAAADbAAAADwAAAAAAAAAAAAAAAACYAgAAZHJzL2Rvd25y&#10;ZXYueG1sUEsFBgAAAAAEAAQA9QAAAIUDAAAAAA==&#10;" fillcolor="#d6e3bc [1302]" strokecolor="#d6e3bc [1302]" strokeweight="2pt">
                  <v:fill opacity="49087f"/>
                  <v:textbox inset=",0,,0">
                    <w:txbxContent>
                      <w:p w:rsidR="00134113" w:rsidRPr="00F1235A" w:rsidRDefault="00F53109" w:rsidP="00A0409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/>
                          <w:ind w:left="142" w:hanging="284"/>
                          <w:rPr>
                            <w:rFonts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F53109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>Patient and Citizen Empowerment.</w:t>
                        </w:r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Fundamental to the self-care agenda this work</w:t>
                        </w:r>
                        <w:r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-</w:t>
                        </w:r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stream will </w:t>
                        </w:r>
                        <w:r w:rsidR="00100BCC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establish</w:t>
                        </w:r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a the</w:t>
                        </w:r>
                        <w:proofErr w:type="gramEnd"/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range of tools and techniques to provide information, feedback or support (such as the use of telehealth, social media and texting</w:t>
                        </w:r>
                        <w:r w:rsidRPr="00F53109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F53109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services).</w:t>
                        </w:r>
                      </w:p>
                    </w:txbxContent>
                  </v:textbox>
                </v:roundrect>
                <v:roundrect id="Rounded Rectangle 14" o:spid="_x0000_s1030" style="position:absolute;left:475;top:18711;width:53257;height:332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dTzsIA&#10;AADbAAAADwAAAGRycy9kb3ducmV2LnhtbERP32vCMBB+H/g/hBP2NlNlyKhGGRNBkCHTij4ezdkW&#10;m0tsslr9681g4Nt9fD9vOu9MLVpqfGVZwXCQgCDOra64UJDtlm8fIHxA1lhbJgU38jCf9V6mmGp7&#10;5R9qt6EQMYR9igrKEFwqpc9LMugH1hFH7mQbgyHCppC6wWsMN7UcJclYGqw4NpTo6Kuk/Lz9NQrc&#10;/bLK8sXa3TbrNvk+XI7Znq1Sr/3ucwIiUBee4n/3Ssf57/D3Sz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1POwgAAANsAAAAPAAAAAAAAAAAAAAAAAJgCAABkcnMvZG93&#10;bnJldi54bWxQSwUGAAAAAAQABAD1AAAAhwMAAAAA&#10;" fillcolor="#d8d8d8 [2732]" strokecolor="#d8d8d8 [2732]" strokeweight="2pt">
                  <v:fill opacity="49087f"/>
                  <v:textbox inset=",0,,0">
                    <w:txbxContent>
                      <w:p w:rsidR="00134113" w:rsidRPr="007226FC" w:rsidRDefault="007226FC" w:rsidP="00A0409B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spacing w:after="0"/>
                          <w:ind w:left="142" w:hanging="284"/>
                          <w:rPr>
                            <w:rFonts w:cs="Arial"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7226FC">
                          <w:rPr>
                            <w:rFonts w:cs="Arial"/>
                            <w:b/>
                            <w:i/>
                            <w:sz w:val="16"/>
                            <w:szCs w:val="16"/>
                          </w:rPr>
                          <w:t>Enabling Infrastructure.</w:t>
                        </w:r>
                        <w:r w:rsidRPr="007226FC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This will be developed as required to support the other work-streams, and covers Information Governance, data</w:t>
                        </w:r>
                        <w:r w:rsidR="00A0409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standards, Informatics and IT</w:t>
                        </w:r>
                        <w:r w:rsidRPr="007226FC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 xml:space="preserve"> s</w:t>
                        </w:r>
                        <w:r w:rsidR="00A0409B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upport services, training and I</w:t>
                        </w:r>
                        <w:r w:rsidRPr="007226FC">
                          <w:rPr>
                            <w:rFonts w:cs="Arial"/>
                            <w:i/>
                            <w:sz w:val="16"/>
                            <w:szCs w:val="16"/>
                          </w:rPr>
                          <w:t>T infrastructure.</w:t>
                        </w:r>
                      </w:p>
                    </w:txbxContent>
                  </v:textbox>
                </v:roundrect>
                <v:rect id="Rectangle 17" o:spid="_x0000_s1031" style="position:absolute;width:54444;height:22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kfsMA&#10;AADbAAAADwAAAGRycy9kb3ducmV2LnhtbERPS2vCQBC+F/wPywi91Y0SVKKriKXSYkV8XLyN2TEJ&#10;Zmdjdmviv+8Khd7m43vOdN6aUtypdoVlBf1eBII4tbrgTMHx8PE2BuE8ssbSMil4kIP5rPMyxUTb&#10;hnd03/tMhBB2CSrIva8SKV2ak0HXsxVx4C62NugDrDOpa2xCuCnlIIqG0mDBoSHHipY5pdf9j1Ew&#10;iJv4+4R0vr2vt5uv4Ur349FGqdduu5iA8NT6f/Gf+1OH+SN4/hIO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kfsMAAADbAAAADwAAAAAAAAAAAAAAAACYAgAAZHJzL2Rv&#10;d25yZXYueG1sUEsFBgAAAAAEAAQA9QAAAIgDAAAAAA==&#10;" filled="f" strokecolor="#d9d9d9" strokeweight="1pt"/>
                <v:rect id="Rectangle 18" o:spid="_x0000_s1032" style="position:absolute;width:54444;height:3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GOTMcA&#10;AADbAAAADwAAAGRycy9kb3ducmV2LnhtbESPT0sDQQzF74LfYYjQi7SzVtB27bRIiyAeBGvpn1vc&#10;ibuLO8l2Z2zXb28OgreE9/LeL7NFHxpzoi7Wwg5uRhkY4kJ8zaWDzfvTcAImJmSPjTA5+KEIi/nl&#10;xQxzL2d+o9M6lUZDOObooEqpza2NRUUB40haYtU+pQuYdO1K6zs8a3ho7DjL7mzAmrWhwpaWFRVf&#10;6+/g4EXqezlsXz/209vJVq53q8DHlXODq/7xAUyiPv2b/66fveIrrP6iA9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xjkzHAAAA2wAAAA8AAAAAAAAAAAAAAAAAmAIAAGRy&#10;cy9kb3ducmV2LnhtbFBLBQYAAAAABAAEAPUAAACMAwAAAAA=&#10;" fillcolor="#c0504d [3205]" strokecolor="#d9d9d9" strokeweight="1pt">
                  <v:fill opacity="32896f"/>
                  <v:textbox>
                    <w:txbxContent>
                      <w:p w:rsidR="00D9640F" w:rsidRPr="00BD48B6" w:rsidRDefault="00D9640F" w:rsidP="00D9640F">
                        <w:pPr>
                          <w:rPr>
                            <w:sz w:val="28"/>
                            <w:szCs w:val="28"/>
                          </w:rPr>
                        </w:pPr>
                        <w:r w:rsidRPr="00BD48B6">
                          <w:rPr>
                            <w:rFonts w:cs="Arial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 xml:space="preserve">Our IM&amp;T </w:t>
                        </w:r>
                        <w:r w:rsidR="00B52462">
                          <w:rPr>
                            <w:rFonts w:cs="Arial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Programme</w:t>
                        </w:r>
                      </w:p>
                    </w:txbxContent>
                  </v:textbox>
                </v:rect>
                <v:roundrect id="Rounded Rectangle 19" o:spid="_x0000_s1033" style="position:absolute;left:474;top:3999;width:53258;height:2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dr8AA&#10;AADbAAAADwAAAGRycy9kb3ducmV2LnhtbERPS0sDMRC+C/0PYYRexGbtQXTbtCwFxYMebPU+bKbZ&#10;tZvJksw+/PdGELzNx/ec7X72nRoppjawgbtVAYq4DrZlZ+Dj9HT7ACoJssUuMBn4pgT73eJqi6UN&#10;E7/TeBSncginEg00In2pdaob8phWoSfO3DlEj5JhdNpGnHK47/S6KO61x5ZzQ4M9HRqqL8fBG5DX&#10;5+HrpsDPanirXBxPlbvIZMzyeq42oIRm+Rf/uV9snv8Iv7/kA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Idr8AAAADbAAAADwAAAAAAAAAAAAAAAACYAgAAZHJzL2Rvd25y&#10;ZXYueG1sUEsFBgAAAAAEAAQA9QAAAIUDAAAAAA==&#10;" fillcolor="#f2f2f2" strokecolor="#f2f2f2" strokeweight="2pt">
                  <v:textbox inset=",0,,0">
                    <w:txbxContent>
                      <w:p w:rsidR="00D9640F" w:rsidRPr="00A0409B" w:rsidRDefault="00D66E5F" w:rsidP="00D9640F">
                        <w:pPr>
                          <w:rPr>
                            <w:color w:val="17365D" w:themeColor="text2" w:themeShade="BF"/>
                          </w:rPr>
                        </w:pPr>
                        <w:r w:rsidRPr="00A0409B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 xml:space="preserve">To turn the vision into reality </w:t>
                        </w:r>
                        <w:r w:rsidR="008D37B6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requires</w:t>
                        </w:r>
                        <w:r w:rsidR="007226FC" w:rsidRPr="00A0409B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 xml:space="preserve"> the </w:t>
                        </w:r>
                        <w:r w:rsidR="00A5089D" w:rsidRPr="00A0409B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following work-streams</w:t>
                        </w:r>
                        <w:r w:rsidRPr="00A0409B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;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cs="Arial"/>
          <w:b/>
          <w:i/>
          <w:noProof/>
          <w:color w:val="FFFFFF" w:themeColor="background1"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320261E" wp14:editId="336341B6">
                <wp:simplePos x="0" y="0"/>
                <wp:positionH relativeFrom="column">
                  <wp:posOffset>-362585</wp:posOffset>
                </wp:positionH>
                <wp:positionV relativeFrom="paragraph">
                  <wp:posOffset>17780</wp:posOffset>
                </wp:positionV>
                <wp:extent cx="3942080" cy="2148840"/>
                <wp:effectExtent l="0" t="0" r="20320" b="228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2080" cy="2148840"/>
                          <a:chOff x="0" y="0"/>
                          <a:chExt cx="3936365" cy="2063641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71252" y="777573"/>
                            <a:ext cx="3811748" cy="1241021"/>
                          </a:xfrm>
                          <a:prstGeom prst="roundRect">
                            <a:avLst/>
                          </a:prstGeom>
                          <a:solidFill>
                            <a:srgbClr val="FFFFCC">
                              <a:alpha val="75000"/>
                            </a:srgbClr>
                          </a:solidFill>
                          <a:ln>
                            <a:solidFill>
                              <a:srgbClr val="FFFF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4CCF" w:rsidRPr="0094678F" w:rsidRDefault="00334CCF" w:rsidP="00334CC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hanging="142"/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Secure </w:t>
                              </w:r>
                              <w:r w:rsidR="00B1520F"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a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ccess to </w:t>
                              </w:r>
                              <w:r w:rsidR="00B1520F"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r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ecords by every clinician/ care worker, when and where needed, with clear opt-out and consent-to-view arrangements;</w:t>
                              </w:r>
                            </w:p>
                            <w:p w:rsidR="00334CCF" w:rsidRPr="0094678F" w:rsidRDefault="00334CCF" w:rsidP="00334CC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hanging="142"/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Empowering </w:t>
                              </w:r>
                              <w:r w:rsidR="00B1520F"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atients and their carers to take greater responsibility for their own health /healthcare through the use of technology-based support tools, and enabling patients to view their own records;</w:t>
                              </w:r>
                            </w:p>
                            <w:p w:rsidR="00334CCF" w:rsidRPr="0094678F" w:rsidRDefault="00334CCF" w:rsidP="00334CC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hanging="142"/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Commissioning decision-making </w:t>
                              </w:r>
                              <w:r w:rsidR="008F6970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well-informed and evidence-based</w:t>
                              </w:r>
                              <w:r w:rsidR="00B701D5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, through access to knowledge, timely,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 high quality information and analytical tools; </w:t>
                              </w:r>
                            </w:p>
                            <w:p w:rsidR="00334CCF" w:rsidRPr="004B4830" w:rsidRDefault="00334CCF" w:rsidP="00334CC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hanging="142"/>
                                <w:rPr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Exploiting </w:t>
                              </w:r>
                              <w:r w:rsidR="00B1520F"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i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 xml:space="preserve">nnovative </w:t>
                              </w:r>
                              <w:r w:rsidR="00B1520F"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t</w:t>
                              </w:r>
                              <w:r w:rsidRPr="0094678F"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  <w:t>echnologies where there is evidence of benefits.</w:t>
                              </w:r>
                            </w:p>
                            <w:p w:rsidR="00F1235A" w:rsidRPr="002477DB" w:rsidRDefault="00F1235A" w:rsidP="002477DB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/>
                                <w:ind w:left="0" w:hanging="142"/>
                                <w:rPr>
                                  <w:b/>
                                  <w:i/>
                                  <w:color w:val="17365D" w:themeColor="text2" w:themeShade="B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936365" cy="31432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alpha val="51000"/>
                            </a:schemeClr>
                          </a:solidFill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A79D9" w:rsidRPr="00BD48B6" w:rsidRDefault="008A79D9" w:rsidP="008A79D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D48B6">
                                <w:rPr>
                                  <w:rFonts w:cs="Arial"/>
                                  <w:b/>
                                  <w:i/>
                                  <w:color w:val="FFFFFF" w:themeColor="background1"/>
                                  <w:sz w:val="28"/>
                                  <w:szCs w:val="28"/>
                                </w:rPr>
                                <w:t>Our IM&amp;T Vision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0"/>
                            <a:ext cx="3936365" cy="20636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71730" y="359069"/>
                            <a:ext cx="3811270" cy="34767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F2426" w:rsidRPr="00DF2426" w:rsidRDefault="004C7093" w:rsidP="00DF2426">
                              <w:pPr>
                                <w:rPr>
                                  <w:color w:val="17365D" w:themeColor="text2" w:themeShade="BF"/>
                                </w:rPr>
                              </w:pPr>
                              <w:r w:rsidRPr="004C7093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 xml:space="preserve">Information and </w:t>
                              </w:r>
                              <w:r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IT</w:t>
                              </w:r>
                              <w:r w:rsidRPr="004C7093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 xml:space="preserve"> will be critical enablers of service change and improvement in Gloucestershire’s health and social care system, </w:t>
                              </w:r>
                              <w:r w:rsidR="00DF2426" w:rsidRPr="00DF2426">
                                <w:rPr>
                                  <w:rFonts w:cs="Arial"/>
                                  <w:b/>
                                  <w:color w:val="17365D" w:themeColor="text2" w:themeShade="BF"/>
                                  <w:sz w:val="18"/>
                                  <w:szCs w:val="18"/>
                                </w:rPr>
                                <w:t>through: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34" style="position:absolute;margin-left:-28.55pt;margin-top:1.4pt;width:310.4pt;height:169.2pt;z-index:251671552;mso-width-relative:margin;mso-height-relative:margin" coordsize="39363,20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">
                <v:roundrect id="Rounded Rectangle 4" o:spid="_x0000_s1035" style="position:absolute;left:712;top:7775;width:38118;height:124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6MsAA&#10;AADaAAAADwAAAGRycy9kb3ducmV2LnhtbESPT4vCMBTE74LfITxhb5oqi7jVKO6C4GnFf/e3zbMt&#10;Ni8hibb77Y0geBxm5jfMYtWZRtzJh9qygvEoA0FcWF1zqeB03AxnIEJE1thYJgX/FGC17PcWmGvb&#10;8p7uh1iKBOGQo4IqRpdLGYqKDIaRdcTJu1hvMCbpS6k9tgluGjnJsqk0WHNaqNDRT0XF9XAzCs5/&#10;u319Od++3PV3Oxu339F5o5X6GHTrOYhIXXyHX+2tVvAJzyvp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O6MsAAAADaAAAADwAAAAAAAAAAAAAAAACYAgAAZHJzL2Rvd25y&#10;ZXYueG1sUEsFBgAAAAAEAAQA9QAAAIUDAAAAAA==&#10;" fillcolor="#ffc" strokecolor="#ffc" strokeweight="2pt">
                  <v:fill opacity="49087f"/>
                  <v:textbox inset=",0,0,0">
                    <w:txbxContent>
                      <w:p w:rsidR="00334CCF" w:rsidRPr="0094678F" w:rsidRDefault="00334CCF" w:rsidP="00334CC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0" w:hanging="142"/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Secure </w:t>
                        </w:r>
                        <w:r w:rsidR="00B1520F"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a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ccess to </w:t>
                        </w:r>
                        <w:r w:rsidR="00B1520F"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r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ecords by every clinician/ care worker, when and where needed, with clear opt-out and consent-to-view arrangements;</w:t>
                        </w:r>
                      </w:p>
                      <w:p w:rsidR="00334CCF" w:rsidRPr="0094678F" w:rsidRDefault="00334CCF" w:rsidP="00334CC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0" w:hanging="142"/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Empowering </w:t>
                        </w:r>
                        <w:r w:rsidR="00B1520F"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p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atients and their carers to take greater responsibility for their own health /healthcare through the use of technology-based support tools, and enabling patients to view their own records;</w:t>
                        </w:r>
                      </w:p>
                      <w:p w:rsidR="00334CCF" w:rsidRPr="0094678F" w:rsidRDefault="00334CCF" w:rsidP="00334CC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0" w:hanging="142"/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Commissioning decision-making </w:t>
                        </w:r>
                        <w:r w:rsidR="008F6970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-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well-informed and evidence-based</w:t>
                        </w:r>
                        <w:r w:rsidR="00B701D5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, through access to knowledge, timely,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 high quality information and analytical tools; </w:t>
                        </w:r>
                      </w:p>
                      <w:p w:rsidR="00334CCF" w:rsidRPr="004B4830" w:rsidRDefault="00334CCF" w:rsidP="00334CC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0" w:hanging="142"/>
                          <w:rPr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Exploiting </w:t>
                        </w:r>
                        <w:r w:rsidR="00B1520F"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i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 xml:space="preserve">nnovative </w:t>
                        </w:r>
                        <w:r w:rsidR="00B1520F"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t</w:t>
                        </w:r>
                        <w:r w:rsidRPr="0094678F"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  <w:t>echnologies where there is evidence of benefits.</w:t>
                        </w:r>
                      </w:p>
                      <w:p w:rsidR="00F1235A" w:rsidRPr="002477DB" w:rsidRDefault="00F1235A" w:rsidP="002477DB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/>
                          <w:ind w:left="0" w:hanging="142"/>
                          <w:rPr>
                            <w:b/>
                            <w:i/>
                            <w:color w:val="17365D" w:themeColor="text2" w:themeShade="B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ect id="Rectangle 6" o:spid="_x0000_s1036" style="position:absolute;width:39363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5FvcMA&#10;AADaAAAADwAAAGRycy9kb3ducmV2LnhtbESPQYvCMBSE74L/IbwFL6KpHop0jSIruoKwoC6ot0fz&#10;bIvNS0myWv/9RhA8DjPzDTOdt6YWN3K+sqxgNExAEOdWV1wo+D2sBhMQPiBrrC2Tggd5mM+6nSlm&#10;2t55R7d9KESEsM9QQRlCk0np85IM+qFtiKN3sc5giNIVUju8R7ip5ThJUmmw4rhQYkNfJeXX/Z9R&#10;MF66kz/K4885LdoDfq+2j3V/q1Tvo118ggjUhnf41d5oBSk8r8Qb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5FvcMAAADaAAAADwAAAAAAAAAAAAAAAACYAgAAZHJzL2Rv&#10;d25yZXYueG1sUEsFBgAAAAAEAAQA9QAAAIgDAAAAAA==&#10;" fillcolor="#c0504d [3205]" strokecolor="#d8d8d8 [2732]" strokeweight="1pt">
                  <v:fill opacity="33410f"/>
                  <v:textbox inset=",1mm,,1mm">
                    <w:txbxContent>
                      <w:p w:rsidR="008A79D9" w:rsidRPr="00BD48B6" w:rsidRDefault="008A79D9" w:rsidP="008A79D9">
                        <w:pPr>
                          <w:rPr>
                            <w:sz w:val="28"/>
                            <w:szCs w:val="28"/>
                          </w:rPr>
                        </w:pPr>
                        <w:r w:rsidRPr="00BD48B6">
                          <w:rPr>
                            <w:rFonts w:cs="Arial"/>
                            <w:b/>
                            <w:i/>
                            <w:color w:val="FFFFFF" w:themeColor="background1"/>
                            <w:sz w:val="28"/>
                            <w:szCs w:val="28"/>
                          </w:rPr>
                          <w:t>Our IM&amp;T Vision</w:t>
                        </w:r>
                      </w:p>
                    </w:txbxContent>
                  </v:textbox>
                </v:rect>
                <v:rect id="Rectangle 15" o:spid="_x0000_s1037" style="position:absolute;width:39363;height:20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9TL4A&#10;AADbAAAADwAAAGRycy9kb3ducmV2LnhtbERPSwrCMBDdC94hjOBGNK2gaDWKiII78bNwOTZjW2wm&#10;pYlab28Ewd083nfmy8aU4km1KywriAcRCOLU6oIzBefTtj8B4TyyxtIyKXiTg+Wi3Zpjou2LD/Q8&#10;+kyEEHYJKsi9rxIpXZqTQTewFXHgbrY26AOsM6lrfIVwU8phFI2lwYJDQ44VrXNK78eHUbC/XHuT&#10;9FCN8DaOs8tjU06nTaxUt9OsZiA8Nf4v/rl3OswfwfeXcI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MG/Uy+AAAA2wAAAA8AAAAAAAAAAAAAAAAAmAIAAGRycy9kb3ducmV2&#10;LnhtbFBLBQYAAAAABAAEAPUAAACDAwAAAAA=&#10;" filled="f" strokecolor="#d8d8d8 [2732]" strokeweight="1pt"/>
                <v:roundrect id="Rounded Rectangle 16" o:spid="_x0000_s1038" style="position:absolute;left:717;top:3590;width:38113;height:34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8d78A&#10;AADbAAAADwAAAGRycy9kb3ducmV2LnhtbERPTYvCMBC9L/gfwgje1tQ9FKlGqYLiRcEqgrehGdti&#10;MylN1tZ/bwTB2zze58yXvanFg1pXWVYwGUcgiHOrKy4UnE+b3ykI55E11pZJwZMcLBeDnzkm2nZ8&#10;pEfmCxFC2CWooPS+SaR0eUkG3dg2xIG72dagD7AtpG6xC+Gmln9RFEuDFYeGEhtal5Tfs3+jwF4o&#10;O3Tb2PL+eF1tMUp32TlVajTs0xkIT73/ij/unQ7zY3j/Eg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MHx3vwAAANsAAAAPAAAAAAAAAAAAAAAAAJgCAABkcnMvZG93bnJl&#10;di54bWxQSwUGAAAAAAQABAD1AAAAhAMAAAAA&#10;" fillcolor="#f2f2f2 [3052]" strokecolor="#f2f2f2 [3052]" strokeweight="2pt">
                  <v:textbox inset=",0,,0">
                    <w:txbxContent>
                      <w:p w:rsidR="00DF2426" w:rsidRPr="00DF2426" w:rsidRDefault="004C7093" w:rsidP="00DF2426">
                        <w:pPr>
                          <w:rPr>
                            <w:color w:val="17365D" w:themeColor="text2" w:themeShade="BF"/>
                          </w:rPr>
                        </w:pPr>
                        <w:r w:rsidRPr="004C7093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 xml:space="preserve">Information and </w:t>
                        </w:r>
                        <w:r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IT</w:t>
                        </w:r>
                        <w:r w:rsidRPr="004C7093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 xml:space="preserve"> will be critical enablers of service change and improvement in Gloucestershire’s health and social care system, </w:t>
                        </w:r>
                        <w:r w:rsidR="00DF2426" w:rsidRPr="00DF2426">
                          <w:rPr>
                            <w:rFonts w:cs="Arial"/>
                            <w:b/>
                            <w:color w:val="17365D" w:themeColor="text2" w:themeShade="BF"/>
                            <w:sz w:val="18"/>
                            <w:szCs w:val="18"/>
                          </w:rPr>
                          <w:t>through: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F86A06" w:rsidRDefault="00ED3456">
      <w:pPr>
        <w:rPr>
          <w:b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C9369" wp14:editId="5B402DE9">
                <wp:simplePos x="0" y="0"/>
                <wp:positionH relativeFrom="column">
                  <wp:posOffset>-362585</wp:posOffset>
                </wp:positionH>
                <wp:positionV relativeFrom="paragraph">
                  <wp:posOffset>-623570</wp:posOffset>
                </wp:positionV>
                <wp:extent cx="9630410" cy="374015"/>
                <wp:effectExtent l="0" t="0" r="27940" b="2603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30410" cy="3740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69000"/>
                          </a:schemeClr>
                        </a:solidFill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2462" w:rsidRDefault="00B52462" w:rsidP="00B52462">
                            <w:pPr>
                              <w:pStyle w:val="Header"/>
                              <w:jc w:val="center"/>
                            </w:pPr>
                            <w:r w:rsidRPr="00D6301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Information Management &amp; Technology Strategy for </w:t>
                            </w:r>
                            <w:r w:rsidR="00D63544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Gloucestershire</w:t>
                            </w:r>
                            <w:r w:rsidRPr="00D63011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: Plan on a Page</w:t>
                            </w:r>
                          </w:p>
                          <w:p w:rsidR="00B52462" w:rsidRPr="00BD48B6" w:rsidRDefault="00B52462" w:rsidP="00B524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39" style="position:absolute;margin-left:-28.55pt;margin-top:-49.1pt;width:758.3pt;height:2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" fillcolor="#c0504d [3205]" strokecolor="#d8d8d8 [2732]" strokeweight="1pt">
                <v:fill opacity="45232f"/>
                <v:textbox>
                  <w:txbxContent>
                    <w:p w:rsidR="00B52462" w:rsidRDefault="00B52462" w:rsidP="00B52462">
                      <w:pPr>
                        <w:pStyle w:val="Header"/>
                        <w:jc w:val="center"/>
                      </w:pPr>
                      <w:r w:rsidRPr="00D63011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Information Management &amp; Technology Strategy for </w:t>
                      </w:r>
                      <w:r w:rsidR="00D63544">
                        <w:rPr>
                          <w:rFonts w:cs="Arial"/>
                          <w:b/>
                          <w:sz w:val="32"/>
                          <w:szCs w:val="32"/>
                        </w:rPr>
                        <w:t>Gloucestershire</w:t>
                      </w:r>
                      <w:r w:rsidRPr="00D63011">
                        <w:rPr>
                          <w:rFonts w:cs="Arial"/>
                          <w:b/>
                          <w:sz w:val="32"/>
                          <w:szCs w:val="32"/>
                        </w:rPr>
                        <w:t>: Plan on a Page</w:t>
                      </w:r>
                    </w:p>
                    <w:p w:rsidR="00B52462" w:rsidRPr="00BD48B6" w:rsidRDefault="00B52462" w:rsidP="00B524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79D9" w:rsidRDefault="008A79D9">
      <w:pPr>
        <w:rPr>
          <w:b/>
          <w:sz w:val="40"/>
          <w:szCs w:val="40"/>
        </w:rPr>
      </w:pPr>
    </w:p>
    <w:p w:rsidR="00134113" w:rsidRDefault="00134113">
      <w:pPr>
        <w:rPr>
          <w:b/>
          <w:sz w:val="40"/>
          <w:szCs w:val="40"/>
        </w:rPr>
      </w:pPr>
    </w:p>
    <w:p w:rsidR="00134113" w:rsidRDefault="00134113">
      <w:pPr>
        <w:rPr>
          <w:b/>
          <w:sz w:val="40"/>
          <w:szCs w:val="40"/>
        </w:rPr>
      </w:pPr>
    </w:p>
    <w:p w:rsidR="00134113" w:rsidRDefault="00134113" w:rsidP="00E53497">
      <w:pPr>
        <w:spacing w:after="0"/>
        <w:rPr>
          <w:b/>
          <w:sz w:val="18"/>
          <w:szCs w:val="18"/>
        </w:rPr>
      </w:pPr>
    </w:p>
    <w:tbl>
      <w:tblPr>
        <w:tblStyle w:val="TableGrid"/>
        <w:tblW w:w="15168" w:type="dxa"/>
        <w:tblInd w:w="-45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56"/>
        <w:gridCol w:w="5056"/>
        <w:gridCol w:w="5056"/>
      </w:tblGrid>
      <w:tr w:rsidR="00D35C85" w:rsidRPr="00D63011" w:rsidTr="00ED3456">
        <w:trPr>
          <w:trHeight w:val="509"/>
        </w:trPr>
        <w:tc>
          <w:tcPr>
            <w:tcW w:w="15168" w:type="dxa"/>
            <w:gridSpan w:val="3"/>
            <w:shd w:val="clear" w:color="auto" w:fill="auto"/>
          </w:tcPr>
          <w:p w:rsidR="00D35C85" w:rsidRPr="00ED3456" w:rsidRDefault="00ED3456" w:rsidP="00B1072F">
            <w:pPr>
              <w:rPr>
                <w:rFonts w:cs="Arial"/>
                <w:color w:val="FFFFFF" w:themeColor="background1"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3C4A71" wp14:editId="4100B05C">
                      <wp:simplePos x="0" y="0"/>
                      <wp:positionH relativeFrom="column">
                        <wp:posOffset>-67813</wp:posOffset>
                      </wp:positionH>
                      <wp:positionV relativeFrom="paragraph">
                        <wp:posOffset>3620</wp:posOffset>
                      </wp:positionV>
                      <wp:extent cx="9630410" cy="327025"/>
                      <wp:effectExtent l="0" t="0" r="27940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30410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D3456" w:rsidRPr="00BD48B6" w:rsidRDefault="00ED3456" w:rsidP="00ED345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D48B6">
                                    <w:rPr>
                                      <w:rFonts w:cs="Arial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i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Strategy in Context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1" o:spid="_x0000_s1040" style="position:absolute;margin-left:-5.35pt;margin-top:.3pt;width:758.3pt;height:2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" fillcolor="#c0504d [3205]" strokecolor="#d8d8d8 [2732]" strokeweight="1pt">
                      <v:fill opacity="32896f"/>
                      <v:textbox>
                        <w:txbxContent>
                          <w:p w:rsidR="00ED3456" w:rsidRPr="00BD48B6" w:rsidRDefault="00ED3456" w:rsidP="00ED345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D48B6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Strategy in Context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35C85" w:rsidRPr="002A79B0" w:rsidTr="00FB375C">
        <w:tc>
          <w:tcPr>
            <w:tcW w:w="15168" w:type="dxa"/>
            <w:gridSpan w:val="3"/>
          </w:tcPr>
          <w:p w:rsidR="00D35C85" w:rsidRDefault="00ED3456" w:rsidP="00B1072F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7A950F" wp14:editId="43B53FE8">
                      <wp:simplePos x="0" y="0"/>
                      <wp:positionH relativeFrom="column">
                        <wp:posOffset>6457</wp:posOffset>
                      </wp:positionH>
                      <wp:positionV relativeFrom="paragraph">
                        <wp:posOffset>32525</wp:posOffset>
                      </wp:positionV>
                      <wp:extent cx="9482258" cy="212725"/>
                      <wp:effectExtent l="0" t="0" r="24130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82258" cy="2127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9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D3456" w:rsidRPr="00A0409B" w:rsidRDefault="00ED3456" w:rsidP="00ED3456">
                                  <w:pPr>
                                    <w:rPr>
                                      <w:color w:val="17365D" w:themeColor="text2" w:themeShade="BF"/>
                                    </w:rPr>
                                  </w:pPr>
                                  <w:r w:rsidRPr="00A0409B"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 w:val="18"/>
                                      <w:szCs w:val="18"/>
                                    </w:rPr>
                                    <w:t>Some examples of why IM&amp;T is crucial to our success, what it will deliver and how this will be achieved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2" o:spid="_x0000_s1041" style="position:absolute;margin-left:.5pt;margin-top:2.55pt;width:746.65pt;height:16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" fillcolor="#f2f2f2" strokecolor="#f2f2f2" strokeweight="2pt">
                      <v:textbox inset=",0,,0">
                        <w:txbxContent>
                          <w:p w:rsidR="00ED3456" w:rsidRPr="00A0409B" w:rsidRDefault="00ED3456" w:rsidP="00ED3456">
                            <w:pPr>
                              <w:rPr>
                                <w:color w:val="17365D" w:themeColor="text2" w:themeShade="BF"/>
                              </w:rPr>
                            </w:pPr>
                            <w:r w:rsidRPr="00A0409B">
                              <w:rPr>
                                <w:rFonts w:cs="Arial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Some examples of why IM&amp;T is crucial to our success, what it will deliver and how this will be achieved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D3456" w:rsidRPr="002A79B0" w:rsidRDefault="00ED3456" w:rsidP="00B1072F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474AB" w:rsidRPr="002A79B0" w:rsidTr="00C233BE">
        <w:tc>
          <w:tcPr>
            <w:tcW w:w="5056" w:type="dxa"/>
            <w:shd w:val="clear" w:color="auto" w:fill="FABF8F" w:themeFill="accent6" w:themeFillTint="99"/>
          </w:tcPr>
          <w:p w:rsidR="005474AB" w:rsidRPr="002A79B0" w:rsidRDefault="005474AB" w:rsidP="006108FE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2A79B0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Why? - Drivers for change / Our </w:t>
            </w:r>
            <w: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Objectives</w:t>
            </w:r>
          </w:p>
        </w:tc>
        <w:tc>
          <w:tcPr>
            <w:tcW w:w="5056" w:type="dxa"/>
            <w:shd w:val="clear" w:color="auto" w:fill="FABF8F" w:themeFill="accent6" w:themeFillTint="99"/>
          </w:tcPr>
          <w:p w:rsidR="005474AB" w:rsidRPr="002A79B0" w:rsidRDefault="005474AB" w:rsidP="006108FE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2A79B0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What? - Required </w:t>
            </w:r>
            <w: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IM&amp;T </w:t>
            </w:r>
            <w:r w:rsidRPr="002A79B0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Outcomes </w:t>
            </w:r>
          </w:p>
        </w:tc>
        <w:tc>
          <w:tcPr>
            <w:tcW w:w="5056" w:type="dxa"/>
            <w:shd w:val="clear" w:color="auto" w:fill="FABF8F" w:themeFill="accent6" w:themeFillTint="99"/>
          </w:tcPr>
          <w:p w:rsidR="005474AB" w:rsidRPr="002A79B0" w:rsidRDefault="005474AB" w:rsidP="006108FE">
            <w:pP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</w:pPr>
            <w:r w:rsidRPr="002A79B0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How? </w:t>
            </w:r>
            <w: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–</w:t>
            </w:r>
            <w:r w:rsidRPr="002A79B0"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i/>
                <w:color w:val="FFFFFF" w:themeColor="background1"/>
                <w:sz w:val="18"/>
                <w:szCs w:val="18"/>
              </w:rPr>
              <w:t>Proposed Initiatives</w:t>
            </w:r>
          </w:p>
        </w:tc>
      </w:tr>
      <w:tr w:rsidR="005474AB" w:rsidRPr="002A79B0" w:rsidTr="006108FE"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Joining U</w:t>
            </w:r>
            <w:r w:rsidR="00FE112C">
              <w:rPr>
                <w:rFonts w:cs="Arial"/>
                <w:b/>
                <w:sz w:val="16"/>
                <w:szCs w:val="16"/>
              </w:rPr>
              <w:t>p Your Care/Integrated Services</w:t>
            </w:r>
            <w:r>
              <w:rPr>
                <w:rFonts w:cs="Arial"/>
                <w:b/>
                <w:sz w:val="16"/>
                <w:szCs w:val="16"/>
              </w:rPr>
              <w:t>, e.g.</w:t>
            </w:r>
          </w:p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Achieve service improvements by re-designing integrated clinical and care pathways, joining-up care between primary, community, acute and social care services - “right care, in the right place, at the right time”. Reduce duplication &amp; unnecessary steps. Emphasis on partnership working. Focus on outcomes, not processes. Integrated Community Health &amp; Social Care Teams (ICT). Multidisciplinary plans of care. Care closer to home, reducing avoidable emergency hospital admissions. Transformation of urgent care.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Health &amp; social care professionals sharing electronic records across organisations, resulting in </w:t>
            </w:r>
            <w:r w:rsidR="0063275E">
              <w:rPr>
                <w:rFonts w:cs="Arial"/>
                <w:sz w:val="16"/>
                <w:szCs w:val="16"/>
              </w:rPr>
              <w:t>improved operational</w:t>
            </w:r>
            <w:r>
              <w:rPr>
                <w:rFonts w:cs="Arial"/>
                <w:sz w:val="16"/>
                <w:szCs w:val="16"/>
              </w:rPr>
              <w:t xml:space="preserve"> decision making and reduction in duplication – latest information; anywhere, anytime.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Integrated electronic care planning &amp; improved service scheduling</w:t>
            </w:r>
          </w:p>
          <w:p w:rsidR="005474AB" w:rsidRPr="008653E3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Faster</w:t>
            </w:r>
            <w:r w:rsidRPr="008653E3">
              <w:rPr>
                <w:rFonts w:cs="Arial"/>
                <w:sz w:val="16"/>
                <w:szCs w:val="16"/>
              </w:rPr>
              <w:t xml:space="preserve"> electronic communications</w:t>
            </w:r>
            <w:r>
              <w:rPr>
                <w:rFonts w:cs="Arial"/>
                <w:sz w:val="16"/>
                <w:szCs w:val="16"/>
              </w:rPr>
              <w:t xml:space="preserve"> &amp; improved turnaround times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Agreed IG framework enabling secure electronic record sharing as the norm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 cross-organisational strategy, requirements &amp; plans for shared electronic records through Interoperability Programme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Urgent care – implement secure electronic messaging between 111, OoH</w:t>
            </w:r>
            <w:r w:rsidR="0063275E">
              <w:rPr>
                <w:rFonts w:cs="Arial"/>
                <w:sz w:val="16"/>
                <w:szCs w:val="16"/>
              </w:rPr>
              <w:t xml:space="preserve">, </w:t>
            </w:r>
            <w:r>
              <w:rPr>
                <w:rFonts w:cs="Arial"/>
                <w:sz w:val="16"/>
                <w:szCs w:val="16"/>
              </w:rPr>
              <w:t>GP’s</w:t>
            </w:r>
            <w:r w:rsidR="0063275E">
              <w:rPr>
                <w:rFonts w:cs="Arial"/>
                <w:sz w:val="16"/>
                <w:szCs w:val="16"/>
              </w:rPr>
              <w:t xml:space="preserve"> and others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Interoperability requirements included in </w:t>
            </w:r>
            <w:r w:rsidR="00FE112C">
              <w:rPr>
                <w:rFonts w:cs="Arial"/>
                <w:sz w:val="16"/>
                <w:szCs w:val="16"/>
              </w:rPr>
              <w:t>pathway redesign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Establish IG oversight group &amp; record sharing agreements</w:t>
            </w:r>
          </w:p>
          <w:p w:rsidR="005474AB" w:rsidRPr="002A79B0" w:rsidRDefault="005474AB" w:rsidP="0063275E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Further rollout S</w:t>
            </w:r>
            <w:r w:rsidR="0063275E">
              <w:rPr>
                <w:rFonts w:cs="Arial"/>
                <w:sz w:val="16"/>
                <w:szCs w:val="16"/>
              </w:rPr>
              <w:t xml:space="preserve">ummary Care Records &amp; e-Prescriptions </w:t>
            </w:r>
          </w:p>
        </w:tc>
      </w:tr>
      <w:tr w:rsidR="005474AB" w:rsidRPr="002A79B0" w:rsidTr="006108FE"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Prevention &amp; Self-care</w:t>
            </w:r>
            <w:r w:rsidRPr="002A79B0">
              <w:rPr>
                <w:rFonts w:cs="Arial"/>
                <w:b/>
                <w:sz w:val="16"/>
                <w:szCs w:val="16"/>
              </w:rPr>
              <w:t>, e.g.</w:t>
            </w:r>
          </w:p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People enabled to take more control of their own health and wellbeing. Focus on empowering self-management / independent living, particularly for people with one or more long term conditions</w:t>
            </w:r>
            <w:r w:rsidR="0063275E">
              <w:rPr>
                <w:rFonts w:cs="Arial"/>
                <w:sz w:val="16"/>
                <w:szCs w:val="16"/>
              </w:rPr>
              <w:t xml:space="preserve"> (LTC)</w:t>
            </w:r>
            <w:r>
              <w:rPr>
                <w:rFonts w:cs="Arial"/>
                <w:sz w:val="16"/>
                <w:szCs w:val="16"/>
              </w:rPr>
              <w:t>, with more emphasis on support for people at home and in their local communities where safe and appropriate – reducing the need for hospital based care. Partnership working to deliver ill health prevention and care strategies. Ensuring self-care strategies are informed by patient’s views.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Patients have access to the information &amp; knowledge needed to support self-care 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Patients have secure access to their electronic records &amp; care plans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Technology providing new ways for interaction with healthcare professionals e.g. Skype. 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Telemonitoring / Telehealth are integral components of LTC mgt.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Improved communications with service users / patients   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Pr="002A79B0" w:rsidRDefault="00F23201" w:rsidP="005474AB">
            <w:pPr>
              <w:pStyle w:val="ListParagraph"/>
              <w:numPr>
                <w:ilvl w:val="0"/>
                <w:numId w:val="2"/>
              </w:numPr>
              <w:ind w:left="198" w:hanging="198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Use of websites etc for</w:t>
            </w:r>
            <w:r w:rsidR="005474AB">
              <w:rPr>
                <w:rFonts w:cs="Arial"/>
                <w:sz w:val="16"/>
                <w:szCs w:val="16"/>
              </w:rPr>
              <w:t xml:space="preserve"> wider range of information accessible to patients / public: </w:t>
            </w:r>
            <w:r w:rsidR="005474AB" w:rsidRPr="00B70B3F">
              <w:rPr>
                <w:rFonts w:cs="Arial"/>
                <w:sz w:val="16"/>
                <w:szCs w:val="16"/>
              </w:rPr>
              <w:t xml:space="preserve">e.g. links to condition </w:t>
            </w:r>
            <w:r w:rsidR="005474AB">
              <w:rPr>
                <w:rFonts w:cs="Arial"/>
                <w:sz w:val="16"/>
                <w:szCs w:val="16"/>
              </w:rPr>
              <w:t>/</w:t>
            </w:r>
            <w:r w:rsidR="005474AB" w:rsidRPr="00B70B3F">
              <w:rPr>
                <w:rFonts w:cs="Arial"/>
                <w:sz w:val="16"/>
                <w:szCs w:val="16"/>
              </w:rPr>
              <w:t xml:space="preserve"> pathway-specific guidance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Greater practice take-up of patient onl</w:t>
            </w:r>
            <w:r w:rsidR="00557B7B">
              <w:rPr>
                <w:rFonts w:cs="Arial"/>
                <w:sz w:val="16"/>
                <w:szCs w:val="16"/>
              </w:rPr>
              <w:t>ine booking, records access etc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Greater use by all providers of text alerts, use of “Apps”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Evaluate targeted use of social media &amp; other online tools</w:t>
            </w:r>
          </w:p>
          <w:p w:rsidR="005474AB" w:rsidRDefault="00557B7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Embed</w:t>
            </w:r>
            <w:r w:rsidR="005474AB">
              <w:rPr>
                <w:rFonts w:cs="Arial"/>
                <w:sz w:val="16"/>
                <w:szCs w:val="16"/>
              </w:rPr>
              <w:t xml:space="preserve"> Telehealth</w:t>
            </w:r>
            <w:r>
              <w:rPr>
                <w:rFonts w:cs="Arial"/>
                <w:sz w:val="16"/>
                <w:szCs w:val="16"/>
              </w:rPr>
              <w:t xml:space="preserve"> in re-designed pathways</w:t>
            </w:r>
            <w:r w:rsidR="00F23201">
              <w:rPr>
                <w:rFonts w:cs="Arial"/>
                <w:sz w:val="16"/>
                <w:szCs w:val="16"/>
              </w:rPr>
              <w:t>. Extend use of “Florence”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Additional routes for patient feedback </w:t>
            </w:r>
          </w:p>
        </w:tc>
      </w:tr>
      <w:tr w:rsidR="005474AB" w:rsidRPr="002A79B0" w:rsidTr="006108FE"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b/>
                <w:sz w:val="16"/>
                <w:szCs w:val="16"/>
              </w:rPr>
            </w:pPr>
            <w:r w:rsidRPr="002A79B0">
              <w:rPr>
                <w:rFonts w:cs="Arial"/>
                <w:b/>
                <w:sz w:val="16"/>
                <w:szCs w:val="16"/>
              </w:rPr>
              <w:t>Commissioning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="00B701D5">
              <w:rPr>
                <w:rFonts w:cs="Arial"/>
                <w:b/>
                <w:sz w:val="16"/>
                <w:szCs w:val="16"/>
              </w:rPr>
              <w:t>for Transformed Services</w:t>
            </w:r>
            <w:r w:rsidRPr="002A79B0">
              <w:rPr>
                <w:rFonts w:cs="Arial"/>
                <w:b/>
                <w:sz w:val="16"/>
                <w:szCs w:val="16"/>
              </w:rPr>
              <w:t>, e.g.</w:t>
            </w:r>
          </w:p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“One system, one budget” approach – best possible outcomes within available resources whilst reducing waste, harm, duplication and variation – with commissioned service pathways crossing organisational boundaries. Evidenced based pathway/service redesign. Innovative approaches to contracting models. Focus on outcomes. Utilise national best practice to maximise clinical and cost effectiveness e.g. prescribing. Monitor compliance with pathways / manage unwarranted variation. 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 broader range of patient data available to inform commissioning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Outcome data for integrated pathways defined &amp; available – support for outcome based contracts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Clinical decision support tools used to support new pathways &amp; monitor adherence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Joined-up up patient data available </w:t>
            </w:r>
            <w:r w:rsidR="00B701D5"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long patient pathway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Benchmarking data routinely used in service planning &amp; monitoring</w:t>
            </w:r>
          </w:p>
        </w:tc>
        <w:tc>
          <w:tcPr>
            <w:tcW w:w="5056" w:type="dxa"/>
          </w:tcPr>
          <w:p w:rsidR="005474AB" w:rsidRPr="002A79B0" w:rsidRDefault="005474AB" w:rsidP="006108FE">
            <w:pPr>
              <w:rPr>
                <w:rFonts w:cs="Arial"/>
                <w:sz w:val="16"/>
                <w:szCs w:val="16"/>
              </w:rPr>
            </w:pPr>
          </w:p>
          <w:p w:rsidR="005474AB" w:rsidRPr="002A79B0" w:rsidRDefault="004B1BDC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5474AB">
              <w:rPr>
                <w:rFonts w:cs="Arial"/>
                <w:sz w:val="16"/>
                <w:szCs w:val="16"/>
              </w:rPr>
              <w:t>mprovements in Community &amp; Mental Health data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Collect/collate outcome measure</w:t>
            </w:r>
            <w:r w:rsidR="004B1BDC">
              <w:rPr>
                <w:rFonts w:cs="Arial"/>
                <w:sz w:val="16"/>
                <w:szCs w:val="16"/>
              </w:rPr>
              <w:t>s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Wider sharing of information to/from G</w:t>
            </w:r>
            <w:r w:rsidR="00B64C2C">
              <w:rPr>
                <w:rFonts w:cs="Arial"/>
                <w:sz w:val="16"/>
                <w:szCs w:val="16"/>
              </w:rPr>
              <w:t xml:space="preserve">loucestershire </w:t>
            </w:r>
            <w:r>
              <w:rPr>
                <w:rFonts w:cs="Arial"/>
                <w:sz w:val="16"/>
                <w:szCs w:val="16"/>
              </w:rPr>
              <w:t>C</w:t>
            </w:r>
            <w:r w:rsidR="00B64C2C">
              <w:rPr>
                <w:rFonts w:cs="Arial"/>
                <w:sz w:val="16"/>
                <w:szCs w:val="16"/>
              </w:rPr>
              <w:t>ouncil</w:t>
            </w:r>
          </w:p>
          <w:p w:rsidR="005474AB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Rollout ACG (Ris</w:t>
            </w:r>
            <w:r w:rsidR="00B64C2C">
              <w:rPr>
                <w:rFonts w:cs="Arial"/>
                <w:sz w:val="16"/>
                <w:szCs w:val="16"/>
              </w:rPr>
              <w:t xml:space="preserve">k Stratification tool). </w:t>
            </w:r>
            <w:r>
              <w:rPr>
                <w:rFonts w:cs="Arial"/>
                <w:sz w:val="16"/>
                <w:szCs w:val="16"/>
              </w:rPr>
              <w:t xml:space="preserve">Appraise benefits </w:t>
            </w:r>
            <w:r w:rsidR="00B64C2C">
              <w:rPr>
                <w:rFonts w:cs="Arial"/>
                <w:sz w:val="16"/>
                <w:szCs w:val="16"/>
              </w:rPr>
              <w:t xml:space="preserve">&amp; implement </w:t>
            </w:r>
            <w:r>
              <w:rPr>
                <w:rFonts w:cs="Arial"/>
                <w:sz w:val="16"/>
                <w:szCs w:val="16"/>
              </w:rPr>
              <w:t xml:space="preserve">further </w:t>
            </w:r>
            <w:r w:rsidR="00B64C2C">
              <w:rPr>
                <w:rFonts w:cs="Arial"/>
                <w:sz w:val="16"/>
                <w:szCs w:val="16"/>
              </w:rPr>
              <w:t xml:space="preserve">clinical decision support </w:t>
            </w:r>
            <w:r>
              <w:rPr>
                <w:rFonts w:cs="Arial"/>
                <w:sz w:val="16"/>
                <w:szCs w:val="16"/>
              </w:rPr>
              <w:t>to</w:t>
            </w:r>
            <w:r w:rsidR="00B64C2C">
              <w:rPr>
                <w:rFonts w:cs="Arial"/>
                <w:sz w:val="16"/>
                <w:szCs w:val="16"/>
              </w:rPr>
              <w:t>ols</w:t>
            </w:r>
          </w:p>
          <w:p w:rsidR="005474AB" w:rsidRPr="002A79B0" w:rsidRDefault="005474AB" w:rsidP="005474AB">
            <w:pPr>
              <w:pStyle w:val="ListParagraph"/>
              <w:numPr>
                <w:ilvl w:val="0"/>
                <w:numId w:val="2"/>
              </w:numPr>
              <w:ind w:left="201" w:hanging="20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Develop tools /protocols to link &amp;  analyse data from different services along patient pathways</w:t>
            </w:r>
          </w:p>
        </w:tc>
      </w:tr>
    </w:tbl>
    <w:p w:rsidR="00B20506" w:rsidRDefault="00B20506" w:rsidP="005474AB"/>
    <w:sectPr w:rsidR="00B20506" w:rsidSect="005474AB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0D" w:rsidRDefault="005A4A0D" w:rsidP="00CC1AD6">
      <w:pPr>
        <w:spacing w:after="0" w:line="240" w:lineRule="auto"/>
      </w:pPr>
      <w:r>
        <w:separator/>
      </w:r>
    </w:p>
  </w:endnote>
  <w:endnote w:type="continuationSeparator" w:id="0">
    <w:p w:rsidR="005A4A0D" w:rsidRDefault="005A4A0D" w:rsidP="00C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0D" w:rsidRDefault="005A4A0D" w:rsidP="00CC1AD6">
      <w:pPr>
        <w:spacing w:after="0" w:line="240" w:lineRule="auto"/>
      </w:pPr>
      <w:r>
        <w:separator/>
      </w:r>
    </w:p>
  </w:footnote>
  <w:footnote w:type="continuationSeparator" w:id="0">
    <w:p w:rsidR="005A4A0D" w:rsidRDefault="005A4A0D" w:rsidP="00CC1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0C4"/>
    <w:multiLevelType w:val="hybridMultilevel"/>
    <w:tmpl w:val="E53E1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4E0888"/>
    <w:multiLevelType w:val="hybridMultilevel"/>
    <w:tmpl w:val="2C4CC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9433A"/>
    <w:multiLevelType w:val="hybridMultilevel"/>
    <w:tmpl w:val="284C5CDE"/>
    <w:lvl w:ilvl="0" w:tplc="4332486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6414"/>
    <w:multiLevelType w:val="hybridMultilevel"/>
    <w:tmpl w:val="54BC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155BB"/>
    <w:multiLevelType w:val="hybridMultilevel"/>
    <w:tmpl w:val="F38270BC"/>
    <w:lvl w:ilvl="0" w:tplc="D7149F12">
      <w:start w:val="3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1576C"/>
    <w:multiLevelType w:val="hybridMultilevel"/>
    <w:tmpl w:val="438C9C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1441F0"/>
    <w:multiLevelType w:val="hybridMultilevel"/>
    <w:tmpl w:val="83B67ECC"/>
    <w:lvl w:ilvl="0" w:tplc="59D0EFE4">
      <w:start w:val="4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46760"/>
    <w:multiLevelType w:val="hybridMultilevel"/>
    <w:tmpl w:val="3D149AE4"/>
    <w:lvl w:ilvl="0" w:tplc="E35038F4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C5B12"/>
    <w:multiLevelType w:val="hybridMultilevel"/>
    <w:tmpl w:val="8C204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93687"/>
    <w:multiLevelType w:val="hybridMultilevel"/>
    <w:tmpl w:val="D6620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C97985"/>
    <w:multiLevelType w:val="hybridMultilevel"/>
    <w:tmpl w:val="7092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AB"/>
    <w:rsid w:val="00003941"/>
    <w:rsid w:val="00014191"/>
    <w:rsid w:val="00014961"/>
    <w:rsid w:val="00027D05"/>
    <w:rsid w:val="000671C8"/>
    <w:rsid w:val="00071135"/>
    <w:rsid w:val="000761AB"/>
    <w:rsid w:val="00092B29"/>
    <w:rsid w:val="000A27A8"/>
    <w:rsid w:val="000A3ECA"/>
    <w:rsid w:val="000C47FF"/>
    <w:rsid w:val="000C72FB"/>
    <w:rsid w:val="000D390C"/>
    <w:rsid w:val="000F3920"/>
    <w:rsid w:val="00100BCC"/>
    <w:rsid w:val="00134113"/>
    <w:rsid w:val="001341C5"/>
    <w:rsid w:val="00137EEA"/>
    <w:rsid w:val="00140DC6"/>
    <w:rsid w:val="00141E74"/>
    <w:rsid w:val="00155AF8"/>
    <w:rsid w:val="0018318F"/>
    <w:rsid w:val="001910AE"/>
    <w:rsid w:val="001B2AE0"/>
    <w:rsid w:val="001E20C3"/>
    <w:rsid w:val="002246DA"/>
    <w:rsid w:val="00243289"/>
    <w:rsid w:val="002477DB"/>
    <w:rsid w:val="00260340"/>
    <w:rsid w:val="00270EF2"/>
    <w:rsid w:val="002A0903"/>
    <w:rsid w:val="002A5EDE"/>
    <w:rsid w:val="002A79B0"/>
    <w:rsid w:val="002D1898"/>
    <w:rsid w:val="002D32C9"/>
    <w:rsid w:val="002E5E9A"/>
    <w:rsid w:val="002F5E8C"/>
    <w:rsid w:val="003102F4"/>
    <w:rsid w:val="0032078E"/>
    <w:rsid w:val="00334CCF"/>
    <w:rsid w:val="00340321"/>
    <w:rsid w:val="0034564F"/>
    <w:rsid w:val="003626FD"/>
    <w:rsid w:val="003852D7"/>
    <w:rsid w:val="00391404"/>
    <w:rsid w:val="003B0503"/>
    <w:rsid w:val="003E2161"/>
    <w:rsid w:val="003F02C2"/>
    <w:rsid w:val="003F07BE"/>
    <w:rsid w:val="003F7CCF"/>
    <w:rsid w:val="00431678"/>
    <w:rsid w:val="004759C4"/>
    <w:rsid w:val="00492846"/>
    <w:rsid w:val="004932F5"/>
    <w:rsid w:val="004B1BDC"/>
    <w:rsid w:val="004B1E6E"/>
    <w:rsid w:val="004B3CF9"/>
    <w:rsid w:val="004C7093"/>
    <w:rsid w:val="004D03F8"/>
    <w:rsid w:val="004F5DC3"/>
    <w:rsid w:val="00522489"/>
    <w:rsid w:val="005333DC"/>
    <w:rsid w:val="00544086"/>
    <w:rsid w:val="005474AB"/>
    <w:rsid w:val="00552E54"/>
    <w:rsid w:val="00557B7B"/>
    <w:rsid w:val="00557E03"/>
    <w:rsid w:val="00560ECF"/>
    <w:rsid w:val="00577593"/>
    <w:rsid w:val="005963B9"/>
    <w:rsid w:val="005A4A0D"/>
    <w:rsid w:val="005D0B23"/>
    <w:rsid w:val="006323DD"/>
    <w:rsid w:val="0063275E"/>
    <w:rsid w:val="00633E43"/>
    <w:rsid w:val="006773D6"/>
    <w:rsid w:val="006809B4"/>
    <w:rsid w:val="00691C0A"/>
    <w:rsid w:val="006A0A33"/>
    <w:rsid w:val="006A6FA5"/>
    <w:rsid w:val="006B739D"/>
    <w:rsid w:val="006C544F"/>
    <w:rsid w:val="007226FC"/>
    <w:rsid w:val="007265F6"/>
    <w:rsid w:val="00735CA5"/>
    <w:rsid w:val="00751114"/>
    <w:rsid w:val="0078129B"/>
    <w:rsid w:val="00796FFA"/>
    <w:rsid w:val="007B1095"/>
    <w:rsid w:val="007C3FA2"/>
    <w:rsid w:val="008146EC"/>
    <w:rsid w:val="00823EC2"/>
    <w:rsid w:val="00834EED"/>
    <w:rsid w:val="00845634"/>
    <w:rsid w:val="008517CF"/>
    <w:rsid w:val="008A79D9"/>
    <w:rsid w:val="008D37B6"/>
    <w:rsid w:val="008E45B8"/>
    <w:rsid w:val="008F6970"/>
    <w:rsid w:val="00902C09"/>
    <w:rsid w:val="00920408"/>
    <w:rsid w:val="00922405"/>
    <w:rsid w:val="00923DE3"/>
    <w:rsid w:val="00927400"/>
    <w:rsid w:val="009338B8"/>
    <w:rsid w:val="0094678F"/>
    <w:rsid w:val="009471C8"/>
    <w:rsid w:val="00972CAC"/>
    <w:rsid w:val="009B1118"/>
    <w:rsid w:val="009D0A63"/>
    <w:rsid w:val="009E5758"/>
    <w:rsid w:val="009E6605"/>
    <w:rsid w:val="00A0409B"/>
    <w:rsid w:val="00A0614A"/>
    <w:rsid w:val="00A137D1"/>
    <w:rsid w:val="00A3159D"/>
    <w:rsid w:val="00A5089D"/>
    <w:rsid w:val="00A73CB7"/>
    <w:rsid w:val="00AA3F06"/>
    <w:rsid w:val="00AC0270"/>
    <w:rsid w:val="00AD4202"/>
    <w:rsid w:val="00AE380C"/>
    <w:rsid w:val="00B1520F"/>
    <w:rsid w:val="00B20506"/>
    <w:rsid w:val="00B24875"/>
    <w:rsid w:val="00B52462"/>
    <w:rsid w:val="00B54A99"/>
    <w:rsid w:val="00B64C2C"/>
    <w:rsid w:val="00B701D5"/>
    <w:rsid w:val="00B94CC4"/>
    <w:rsid w:val="00BD44E2"/>
    <w:rsid w:val="00BD48B6"/>
    <w:rsid w:val="00BD7F7A"/>
    <w:rsid w:val="00BE1C21"/>
    <w:rsid w:val="00BE5EAD"/>
    <w:rsid w:val="00C13255"/>
    <w:rsid w:val="00C233BE"/>
    <w:rsid w:val="00C475DF"/>
    <w:rsid w:val="00C56063"/>
    <w:rsid w:val="00C70D1E"/>
    <w:rsid w:val="00C80CD0"/>
    <w:rsid w:val="00CC1AD6"/>
    <w:rsid w:val="00CD031B"/>
    <w:rsid w:val="00CE088C"/>
    <w:rsid w:val="00CF7B2E"/>
    <w:rsid w:val="00D02C40"/>
    <w:rsid w:val="00D35C85"/>
    <w:rsid w:val="00D42111"/>
    <w:rsid w:val="00D63011"/>
    <w:rsid w:val="00D63544"/>
    <w:rsid w:val="00D66E5F"/>
    <w:rsid w:val="00D7350E"/>
    <w:rsid w:val="00D85AC1"/>
    <w:rsid w:val="00D9640F"/>
    <w:rsid w:val="00DA4279"/>
    <w:rsid w:val="00DB3F77"/>
    <w:rsid w:val="00DB72DF"/>
    <w:rsid w:val="00DB72F1"/>
    <w:rsid w:val="00DD493A"/>
    <w:rsid w:val="00DD4C66"/>
    <w:rsid w:val="00DE3755"/>
    <w:rsid w:val="00DF2426"/>
    <w:rsid w:val="00E31659"/>
    <w:rsid w:val="00E53497"/>
    <w:rsid w:val="00E617EB"/>
    <w:rsid w:val="00E76614"/>
    <w:rsid w:val="00E87570"/>
    <w:rsid w:val="00EA524F"/>
    <w:rsid w:val="00EB2114"/>
    <w:rsid w:val="00EB5C0F"/>
    <w:rsid w:val="00ED24C1"/>
    <w:rsid w:val="00ED3456"/>
    <w:rsid w:val="00ED5043"/>
    <w:rsid w:val="00ED5E8E"/>
    <w:rsid w:val="00EE56E4"/>
    <w:rsid w:val="00EF57BA"/>
    <w:rsid w:val="00EF6135"/>
    <w:rsid w:val="00F01FDF"/>
    <w:rsid w:val="00F100B1"/>
    <w:rsid w:val="00F1235A"/>
    <w:rsid w:val="00F1483B"/>
    <w:rsid w:val="00F215CC"/>
    <w:rsid w:val="00F21EEB"/>
    <w:rsid w:val="00F23201"/>
    <w:rsid w:val="00F53109"/>
    <w:rsid w:val="00F86A06"/>
    <w:rsid w:val="00FB375C"/>
    <w:rsid w:val="00FD4B49"/>
    <w:rsid w:val="00FE112C"/>
    <w:rsid w:val="00FF37CF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D6"/>
  </w:style>
  <w:style w:type="paragraph" w:styleId="Footer">
    <w:name w:val="footer"/>
    <w:basedOn w:val="Normal"/>
    <w:link w:val="FooterChar"/>
    <w:uiPriority w:val="99"/>
    <w:unhideWhenUsed/>
    <w:rsid w:val="00CC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D6"/>
  </w:style>
  <w:style w:type="paragraph" w:styleId="BalloonText">
    <w:name w:val="Balloon Text"/>
    <w:basedOn w:val="Normal"/>
    <w:link w:val="BalloonTextChar"/>
    <w:uiPriority w:val="99"/>
    <w:semiHidden/>
    <w:unhideWhenUsed/>
    <w:rsid w:val="003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AD6"/>
  </w:style>
  <w:style w:type="paragraph" w:styleId="Footer">
    <w:name w:val="footer"/>
    <w:basedOn w:val="Normal"/>
    <w:link w:val="FooterChar"/>
    <w:uiPriority w:val="99"/>
    <w:unhideWhenUsed/>
    <w:rsid w:val="00CC1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AD6"/>
  </w:style>
  <w:style w:type="paragraph" w:styleId="BalloonText">
    <w:name w:val="Balloon Text"/>
    <w:basedOn w:val="Normal"/>
    <w:link w:val="BalloonTextChar"/>
    <w:uiPriority w:val="99"/>
    <w:semiHidden/>
    <w:unhideWhenUsed/>
    <w:rsid w:val="003F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BDF3-AC73-489B-AA98-E279EBAD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CSCSU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Stephen Rudd</cp:lastModifiedBy>
  <cp:revision>2</cp:revision>
  <cp:lastPrinted>2014-05-17T19:32:00Z</cp:lastPrinted>
  <dcterms:created xsi:type="dcterms:W3CDTF">2016-03-24T11:06:00Z</dcterms:created>
  <dcterms:modified xsi:type="dcterms:W3CDTF">2016-03-24T11:06:00Z</dcterms:modified>
</cp:coreProperties>
</file>