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25" w:rsidRDefault="00A955A9">
      <w:pPr>
        <w:pStyle w:val="BodyText"/>
        <w:rPr>
          <w:rFonts w:ascii="Times New Roman"/>
          <w:sz w:val="20"/>
        </w:rPr>
      </w:pPr>
      <w:r>
        <w:rPr>
          <w:noProof/>
          <w:lang w:bidi="ar-SA"/>
        </w:rPr>
        <w:drawing>
          <wp:anchor distT="0" distB="0" distL="0" distR="0" simplePos="0" relativeHeight="251655168" behindDoc="0" locked="0" layoutInCell="1" allowOverlap="1" wp14:anchorId="0E12C95E" wp14:editId="01C3C856">
            <wp:simplePos x="0" y="0"/>
            <wp:positionH relativeFrom="page">
              <wp:posOffset>4736465</wp:posOffset>
            </wp:positionH>
            <wp:positionV relativeFrom="page">
              <wp:posOffset>335970</wp:posOffset>
            </wp:positionV>
            <wp:extent cx="2560269" cy="664147"/>
            <wp:effectExtent l="0" t="0" r="0"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60269" cy="664147"/>
                    </a:xfrm>
                    <a:prstGeom prst="rect">
                      <a:avLst/>
                    </a:prstGeom>
                  </pic:spPr>
                </pic:pic>
              </a:graphicData>
            </a:graphic>
          </wp:anchor>
        </w:drawing>
      </w:r>
    </w:p>
    <w:p w:rsidR="00C83625" w:rsidRDefault="00C83625">
      <w:pPr>
        <w:pStyle w:val="BodyText"/>
        <w:spacing w:before="4"/>
        <w:rPr>
          <w:rFonts w:ascii="Times New Roman"/>
          <w:sz w:val="18"/>
        </w:rPr>
      </w:pPr>
    </w:p>
    <w:p w:rsidR="00C83625" w:rsidRDefault="00A955A9">
      <w:pPr>
        <w:pStyle w:val="Heading1"/>
        <w:spacing w:before="92"/>
        <w:ind w:left="1550"/>
      </w:pPr>
      <w:r>
        <w:t>Bevacizumab (</w:t>
      </w:r>
      <w:proofErr w:type="spellStart"/>
      <w:r>
        <w:t>Avastin</w:t>
      </w:r>
      <w:proofErr w:type="spellEnd"/>
      <w:r>
        <w:t>) for choroidal neovascularisation</w:t>
      </w:r>
    </w:p>
    <w:p w:rsidR="00D14222" w:rsidRDefault="00D14222">
      <w:pPr>
        <w:pStyle w:val="Heading1"/>
        <w:spacing w:before="92"/>
        <w:ind w:left="1550"/>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D14222" w:rsidTr="000C4D7D">
        <w:trPr>
          <w:trHeight w:val="758"/>
        </w:trPr>
        <w:tc>
          <w:tcPr>
            <w:tcW w:w="2093" w:type="dxa"/>
            <w:shd w:val="clear" w:color="auto" w:fill="D9D9D9"/>
          </w:tcPr>
          <w:p w:rsidR="00D14222" w:rsidRDefault="00D14222" w:rsidP="000C4D7D">
            <w:pPr>
              <w:pStyle w:val="TableParagraph"/>
              <w:spacing w:line="240" w:lineRule="auto"/>
              <w:ind w:right="155"/>
              <w:rPr>
                <w:b/>
                <w:sz w:val="24"/>
              </w:rPr>
            </w:pPr>
            <w:r>
              <w:rPr>
                <w:b/>
                <w:sz w:val="24"/>
              </w:rPr>
              <w:t>Commissioning decision</w:t>
            </w:r>
          </w:p>
        </w:tc>
        <w:tc>
          <w:tcPr>
            <w:tcW w:w="7151" w:type="dxa"/>
          </w:tcPr>
          <w:p w:rsidR="00D14222" w:rsidRDefault="00D14222" w:rsidP="000C4D7D">
            <w:pPr>
              <w:pStyle w:val="TableParagraph"/>
              <w:spacing w:line="248" w:lineRule="exact"/>
              <w:rPr>
                <w:b/>
              </w:rPr>
            </w:pPr>
            <w:r>
              <w:rPr>
                <w:b/>
              </w:rPr>
              <w:t>The CCG will provide funding for Bevacizumab (</w:t>
            </w:r>
            <w:proofErr w:type="spellStart"/>
            <w:r>
              <w:rPr>
                <w:b/>
              </w:rPr>
              <w:t>Avastin</w:t>
            </w:r>
            <w:proofErr w:type="spellEnd"/>
            <w:r>
              <w:rPr>
                <w:b/>
              </w:rPr>
              <w:t>) for</w:t>
            </w:r>
          </w:p>
          <w:p w:rsidR="00D14222" w:rsidRDefault="00D14222" w:rsidP="000C4D7D">
            <w:pPr>
              <w:pStyle w:val="TableParagraph"/>
              <w:spacing w:before="6" w:line="252" w:lineRule="exact"/>
              <w:ind w:right="449"/>
              <w:rPr>
                <w:b/>
              </w:rPr>
            </w:pPr>
            <w:proofErr w:type="gramStart"/>
            <w:r>
              <w:rPr>
                <w:b/>
              </w:rPr>
              <w:t>choroidal</w:t>
            </w:r>
            <w:proofErr w:type="gramEnd"/>
            <w:r>
              <w:rPr>
                <w:b/>
              </w:rPr>
              <w:t xml:space="preserve"> neovascularisation for patients who meet the criteria defined within this policy.</w:t>
            </w:r>
          </w:p>
        </w:tc>
      </w:tr>
    </w:tbl>
    <w:p w:rsidR="00C83625" w:rsidRDefault="00C83625">
      <w:pPr>
        <w:pStyle w:val="BodyText"/>
        <w:rPr>
          <w:b/>
          <w:sz w:val="20"/>
        </w:rPr>
      </w:pPr>
    </w:p>
    <w:p w:rsidR="00D14222" w:rsidRDefault="00D14222">
      <w:pPr>
        <w:pStyle w:val="BodyText"/>
        <w:rPr>
          <w:b/>
          <w:sz w:val="20"/>
        </w:rPr>
      </w:pPr>
    </w:p>
    <w:p w:rsidR="00C83625" w:rsidRDefault="00A955A9">
      <w:pPr>
        <w:pStyle w:val="BodyText"/>
        <w:spacing w:before="8"/>
        <w:rPr>
          <w:b/>
          <w:sz w:val="11"/>
        </w:rPr>
      </w:pPr>
      <w:r>
        <w:rPr>
          <w:rFonts w:ascii="Calibri"/>
          <w:noProof/>
          <w:lang w:bidi="ar-SA"/>
        </w:rPr>
        <mc:AlternateContent>
          <mc:Choice Requires="wpg">
            <w:drawing>
              <wp:anchor distT="0" distB="0" distL="114300" distR="114300" simplePos="0" relativeHeight="251656192" behindDoc="1" locked="0" layoutInCell="1" allowOverlap="1">
                <wp:simplePos x="0" y="0"/>
                <wp:positionH relativeFrom="page">
                  <wp:posOffset>858741</wp:posOffset>
                </wp:positionH>
                <wp:positionV relativeFrom="paragraph">
                  <wp:posOffset>10905</wp:posOffset>
                </wp:positionV>
                <wp:extent cx="5869940" cy="7418567"/>
                <wp:effectExtent l="838200" t="0" r="16510" b="102108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7418567"/>
                          <a:chOff x="1327" y="48"/>
                          <a:chExt cx="9254" cy="11047"/>
                        </a:xfrm>
                      </wpg:grpSpPr>
                      <wps:wsp>
                        <wps:cNvPr id="12" name="Line 11"/>
                        <wps:cNvCnPr/>
                        <wps:spPr bwMode="auto">
                          <a:xfrm>
                            <a:off x="1337" y="53"/>
                            <a:ext cx="9234" cy="0"/>
                          </a:xfrm>
                          <a:prstGeom prst="line">
                            <a:avLst/>
                          </a:prstGeom>
                          <a:noFill/>
                          <a:ln w="6096">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1332" y="48"/>
                            <a:ext cx="0" cy="11037"/>
                          </a:xfrm>
                          <a:prstGeom prst="line">
                            <a:avLst/>
                          </a:prstGeom>
                          <a:noFill/>
                          <a:ln w="6096">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14" name="Rectangle 9"/>
                        <wps:cNvSpPr>
                          <a:spLocks/>
                        </wps:cNvSpPr>
                        <wps:spPr bwMode="auto">
                          <a:xfrm>
                            <a:off x="0" y="12584"/>
                            <a:ext cx="9243" cy="2"/>
                          </a:xfrm>
                          <a:prstGeom prst="rect">
                            <a:avLst/>
                          </a:prstGeom>
                          <a:noFill/>
                          <a:ln w="6096">
                            <a:solidFill>
                              <a:schemeClr val="tx1">
                                <a:lumMod val="100000"/>
                                <a:lumOff val="0"/>
                              </a:schemeClr>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8"/>
                        <wps:cNvCnPr/>
                        <wps:spPr bwMode="auto">
                          <a:xfrm>
                            <a:off x="10576" y="48"/>
                            <a:ext cx="0" cy="11037"/>
                          </a:xfrm>
                          <a:prstGeom prst="line">
                            <a:avLst/>
                          </a:prstGeom>
                          <a:noFill/>
                          <a:ln w="6096">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16" name="Rectangle 7"/>
                        <wps:cNvSpPr>
                          <a:spLocks/>
                        </wps:cNvSpPr>
                        <wps:spPr bwMode="auto">
                          <a:xfrm>
                            <a:off x="0" y="12584"/>
                            <a:ext cx="9" cy="2"/>
                          </a:xfrm>
                          <a:prstGeom prst="rect">
                            <a:avLst/>
                          </a:prstGeom>
                          <a:noFill/>
                          <a:ln w="6096">
                            <a:solidFill>
                              <a:schemeClr val="tx1">
                                <a:lumMod val="100000"/>
                                <a:lumOff val="0"/>
                              </a:schemeClr>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7.6pt;margin-top:.85pt;width:462.2pt;height:584.15pt;z-index:-251660288;mso-position-horizontal-relative:page" coordorigin="1327,48" coordsize="9254,1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">
                <v:line id="Line 11" o:spid="_x0000_s1027" style="position:absolute;visibility:visible;mso-wrap-style:square" from="1337,53" to="105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TO2cIAAADbAAAADwAAAGRycy9kb3ducmV2LnhtbERPTU8CMRC9m/AfmiHxJl04GLNSCNFA&#10;DB6MC96H7dAubKd1W2D331sTE2/z8j5nvuxdK67UxcazgumkAEFce92wUbDfrR+eQMSErLH1TAoG&#10;irBcjO7mWGp/40+6VsmIHMKxRAU2pVBKGWtLDuPEB+LMHX3nMGXYGak7vOVw18pZUTxKhw3nBouB&#10;XizV5+riFPT2ZIbj5rXafDT7bRi+D18mvCt1P+5XzyAS9elf/Od+03n+DH5/yQ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TO2cIAAADbAAAADwAAAAAAAAAAAAAA&#10;AAChAgAAZHJzL2Rvd25yZXYueG1sUEsFBgAAAAAEAAQA+QAAAJADAAAAAA==&#10;" strokecolor="black [3213]" strokeweight=".48pt"/>
                <v:line id="Line 10" o:spid="_x0000_s1028" style="position:absolute;visibility:visible;mso-wrap-style:square" from="1332,48" to="1332,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hrQsIAAADbAAAADwAAAGRycy9kb3ducmV2LnhtbERPTU8CMRC9m/AfmjHhJl0lIWalECKR&#10;GDkQV7yP26Fd3E7rtsLuv6cmJtzm5X3OfNm7Vpyoi41nBfeTAgRx7XXDRsH+4+XuEURMyBpbz6Rg&#10;oAjLxehmjqX2Z36nU5WMyCEcS1RgUwqllLG25DBOfCDO3MF3DlOGnZG6w3MOd618KIqZdNhwbrAY&#10;6NlS/V39OgW9PZrhsFlXm12zfwvDz9enCVulxrf96glEoj5dxf/uV53nT+Hvl3yAX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hrQsIAAADbAAAADwAAAAAAAAAAAAAA&#10;AAChAgAAZHJzL2Rvd25yZXYueG1sUEsFBgAAAAAEAAQA+QAAAJADAAAAAA==&#10;" strokecolor="black [3213]" strokeweight=".48pt"/>
                <v:rect id="Rectangle 9" o:spid="_x0000_s1029" style="position:absolute;top:12584;width:924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48EA&#10;AADbAAAADwAAAGRycy9kb3ducmV2LnhtbERPTYvCMBC9C/6HMII3TZVVpGsUEVeWRQ+2LsvehmZs&#10;i82kNFHrvzeC4G0e73Pmy9ZU4kqNKy0rGA0jEMSZ1SXnCo7p12AGwnlkjZVlUnAnB8tFtzPHWNsb&#10;H+ia+FyEEHYxKii8r2MpXVaQQTe0NXHgTrYx6ANscqkbvIVwU8lxFE2lwZJDQ4E1rQvKzsnFKJic&#10;5G7/6zfpJNn+/KUcmd3+f6tUv9euPkF4av1b/HJ/6zD/A5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6fuPBAAAA2wAAAA8AAAAAAAAAAAAAAAAAmAIAAGRycy9kb3du&#10;cmV2LnhtbFBLBQYAAAAABAAEAPUAAACGAwAAAAA=&#10;" filled="f" strokecolor="black [3213]" strokeweight=".48pt">
                  <v:stroke joinstyle="round"/>
                  <v:path arrowok="t"/>
                </v:rect>
                <v:line id="Line 8" o:spid="_x0000_s1030" style="position:absolute;visibility:visible;mso-wrap-style:square" from="10576,48" to="10576,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1WrcIAAADbAAAADwAAAGRycy9kb3ducmV2LnhtbERPTU8CMRC9m/AfmjHhJl1NIGalECKR&#10;GDkQV7yP26Fd3E7rtsLuv6cmJtzm5X3OfNm7Vpyoi41nBfeTAgRx7XXDRsH+4+XuEURMyBpbz6Rg&#10;oAjLxehmjqX2Z36nU5WMyCEcS1RgUwqllLG25DBOfCDO3MF3DlOGnZG6w3MOd618KIqZdNhwbrAY&#10;6NlS/V39OgW9PZrhsFlXm12zfwvDz9enCVulxrf96glEoj5dxf/uV53nT+Hvl3yAX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1WrcIAAADbAAAADwAAAAAAAAAAAAAA&#10;AAChAgAAZHJzL2Rvd25yZXYueG1sUEsFBgAAAAAEAAQA+QAAAJADAAAAAA==&#10;" strokecolor="black [3213]" strokeweight=".48pt"/>
                <v:rect id="Rectangle 7" o:spid="_x0000_s1031" style="position:absolute;top:12584;width:9;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FD8IA&#10;AADbAAAADwAAAGRycy9kb3ducmV2LnhtbERPTWvCQBC9F/wPywje6saCoaSuUsSGIvHQRCm9Ddkx&#10;CWZnQ3Yb03/fFQRv83ifs9qMphUD9a6xrGAxj0AQl1Y3XCk4Fh/PryCcR9bYWiYFf+Rgs548rTDR&#10;9spfNOS+EiGEXYIKau+7REpX1mTQzW1HHLiz7Q36APtK6h6vIdy08iWKYmmw4dBQY0fbmspL/msU&#10;LM8yO5z8rljm6f674Mhkh59Uqdl0fH8D4Wn0D/Hd/anD/Bhuv4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EUPwgAAANsAAAAPAAAAAAAAAAAAAAAAAJgCAABkcnMvZG93&#10;bnJldi54bWxQSwUGAAAAAAQABAD1AAAAhwMAAAAA&#10;" filled="f" strokecolor="black [3213]" strokeweight=".48pt">
                  <v:stroke joinstyle="round"/>
                  <v:path arrowok="t"/>
                </v:rect>
                <w10:wrap anchorx="page"/>
              </v:group>
            </w:pict>
          </mc:Fallback>
        </mc:AlternateContent>
      </w:r>
    </w:p>
    <w:p w:rsidR="00C83625" w:rsidRDefault="00D14222" w:rsidP="00D14222">
      <w:pPr>
        <w:rPr>
          <w:b/>
          <w:sz w:val="24"/>
        </w:rPr>
      </w:pPr>
      <w:r>
        <w:rPr>
          <w:b/>
          <w:sz w:val="24"/>
        </w:rPr>
        <w:t xml:space="preserve">    P</w:t>
      </w:r>
      <w:r w:rsidR="00A955A9">
        <w:rPr>
          <w:b/>
          <w:sz w:val="24"/>
        </w:rPr>
        <w:t>olicy Statement:</w:t>
      </w:r>
    </w:p>
    <w:p w:rsidR="00C83625" w:rsidRDefault="00D14222">
      <w:pPr>
        <w:pStyle w:val="Heading2"/>
        <w:spacing w:before="47"/>
        <w:ind w:left="240"/>
        <w:rPr>
          <w:rFonts w:ascii="Arial"/>
        </w:rPr>
      </w:pPr>
      <w:r>
        <w:rPr>
          <w:rFonts w:ascii="Arial"/>
        </w:rPr>
        <w:t xml:space="preserve"> </w:t>
      </w:r>
      <w:r w:rsidR="00A955A9">
        <w:rPr>
          <w:rFonts w:ascii="Arial"/>
        </w:rPr>
        <w:t>Qualifying for Treatment</w:t>
      </w:r>
    </w:p>
    <w:p w:rsidR="00C83625" w:rsidRDefault="00A955A9">
      <w:pPr>
        <w:pStyle w:val="ListParagraph"/>
        <w:numPr>
          <w:ilvl w:val="0"/>
          <w:numId w:val="2"/>
        </w:numPr>
        <w:tabs>
          <w:tab w:val="left" w:pos="500"/>
        </w:tabs>
        <w:ind w:right="553" w:firstLine="0"/>
      </w:pPr>
      <w:r>
        <w:t xml:space="preserve">Bevacizumab is commissioned for the treatment of choroidal neovascularisation (CNV) associated with </w:t>
      </w:r>
      <w:proofErr w:type="spellStart"/>
      <w:r>
        <w:t>Angioid</w:t>
      </w:r>
      <w:proofErr w:type="spellEnd"/>
      <w:r>
        <w:t xml:space="preserve"> streaks and retinal dystrophies in patients where the following criteria are</w:t>
      </w:r>
      <w:r>
        <w:rPr>
          <w:spacing w:val="-7"/>
        </w:rPr>
        <w:t xml:space="preserve"> </w:t>
      </w:r>
      <w:r>
        <w:t>met:</w:t>
      </w:r>
    </w:p>
    <w:p w:rsidR="00C83625" w:rsidRDefault="00A955A9">
      <w:pPr>
        <w:pStyle w:val="ListParagraph"/>
        <w:numPr>
          <w:ilvl w:val="1"/>
          <w:numId w:val="2"/>
        </w:numPr>
        <w:tabs>
          <w:tab w:val="left" w:pos="960"/>
          <w:tab w:val="left" w:pos="961"/>
        </w:tabs>
        <w:spacing w:line="237" w:lineRule="auto"/>
        <w:ind w:right="497"/>
      </w:pPr>
      <w:r>
        <w:t>Diagnosis of active CNV has been confirmed. This will normally require fluorescein angiography unless the patient has clinical</w:t>
      </w:r>
      <w:r>
        <w:rPr>
          <w:spacing w:val="-33"/>
        </w:rPr>
        <w:t xml:space="preserve"> </w:t>
      </w:r>
      <w:r>
        <w:t>contraindications.</w:t>
      </w:r>
    </w:p>
    <w:p w:rsidR="00C83625" w:rsidRDefault="00A955A9">
      <w:pPr>
        <w:pStyle w:val="BodyText"/>
        <w:spacing w:line="252" w:lineRule="exact"/>
        <w:ind w:left="600"/>
      </w:pPr>
      <w:r>
        <w:t>AND</w:t>
      </w:r>
    </w:p>
    <w:p w:rsidR="00C83625" w:rsidRDefault="00A955A9">
      <w:pPr>
        <w:pStyle w:val="ListParagraph"/>
        <w:numPr>
          <w:ilvl w:val="1"/>
          <w:numId w:val="2"/>
        </w:numPr>
        <w:tabs>
          <w:tab w:val="left" w:pos="960"/>
          <w:tab w:val="left" w:pos="961"/>
        </w:tabs>
        <w:ind w:right="778"/>
      </w:pPr>
      <w:r>
        <w:t>Best corrected visual acuity is 6/96 (24 ETDRS letters) or better in the eye to be treated.</w:t>
      </w:r>
    </w:p>
    <w:p w:rsidR="00C83625" w:rsidRDefault="00A955A9">
      <w:pPr>
        <w:pStyle w:val="BodyText"/>
        <w:spacing w:line="251" w:lineRule="exact"/>
        <w:ind w:left="600"/>
      </w:pPr>
      <w:r>
        <w:t>AND</w:t>
      </w:r>
    </w:p>
    <w:p w:rsidR="00C83625" w:rsidRDefault="00A955A9">
      <w:pPr>
        <w:pStyle w:val="ListParagraph"/>
        <w:numPr>
          <w:ilvl w:val="1"/>
          <w:numId w:val="2"/>
        </w:numPr>
        <w:tabs>
          <w:tab w:val="left" w:pos="960"/>
          <w:tab w:val="left" w:pos="961"/>
        </w:tabs>
        <w:spacing w:before="0"/>
        <w:ind w:right="841"/>
      </w:pPr>
      <w:r>
        <w:t xml:space="preserve">There is no significant permanent structural damage to the fovea, defined as longstanding fibrosis or atrophy or significant </w:t>
      </w:r>
      <w:proofErr w:type="spellStart"/>
      <w:r>
        <w:t>disciform</w:t>
      </w:r>
      <w:proofErr w:type="spellEnd"/>
      <w:r>
        <w:t xml:space="preserve"> scar, that would prevent functional benefit from</w:t>
      </w:r>
      <w:r>
        <w:rPr>
          <w:spacing w:val="-17"/>
        </w:rPr>
        <w:t xml:space="preserve"> </w:t>
      </w:r>
      <w:r>
        <w:t>treatment,</w:t>
      </w:r>
    </w:p>
    <w:p w:rsidR="00C83625" w:rsidRDefault="00A955A9">
      <w:pPr>
        <w:pStyle w:val="BodyText"/>
        <w:spacing w:line="248" w:lineRule="exact"/>
        <w:ind w:left="600"/>
      </w:pPr>
      <w:r>
        <w:t>AND</w:t>
      </w:r>
    </w:p>
    <w:p w:rsidR="00C83625" w:rsidRDefault="00A955A9">
      <w:pPr>
        <w:pStyle w:val="ListParagraph"/>
        <w:numPr>
          <w:ilvl w:val="1"/>
          <w:numId w:val="2"/>
        </w:numPr>
        <w:tabs>
          <w:tab w:val="left" w:pos="960"/>
          <w:tab w:val="left" w:pos="961"/>
        </w:tabs>
        <w:spacing w:before="3"/>
        <w:ind w:right="372"/>
      </w:pPr>
      <w:r>
        <w:t xml:space="preserve">There is evidence of recent progression of the </w:t>
      </w:r>
      <w:r>
        <w:rPr>
          <w:spacing w:val="-3"/>
        </w:rPr>
        <w:t xml:space="preserve">CNV </w:t>
      </w:r>
      <w:r>
        <w:t xml:space="preserve">lesion, defined as newly identified sight threatening CNV OR new haemorrhage and/or </w:t>
      </w:r>
      <w:proofErr w:type="spellStart"/>
      <w:r>
        <w:t>subretinal</w:t>
      </w:r>
      <w:proofErr w:type="spellEnd"/>
      <w:r>
        <w:t xml:space="preserve"> fluid OR documented recent visual decline in presence of and clinically attributed to CNV OR increase in CNV size between</w:t>
      </w:r>
      <w:r>
        <w:rPr>
          <w:spacing w:val="-8"/>
        </w:rPr>
        <w:t xml:space="preserve"> </w:t>
      </w:r>
      <w:r>
        <w:t>visits</w:t>
      </w:r>
    </w:p>
    <w:p w:rsidR="00C83625" w:rsidRDefault="00A955A9">
      <w:pPr>
        <w:pStyle w:val="BodyText"/>
        <w:spacing w:line="250" w:lineRule="exact"/>
        <w:ind w:left="600"/>
      </w:pPr>
      <w:r>
        <w:t>AND</w:t>
      </w:r>
    </w:p>
    <w:p w:rsidR="00C83625" w:rsidRDefault="00A955A9">
      <w:pPr>
        <w:pStyle w:val="ListParagraph"/>
        <w:numPr>
          <w:ilvl w:val="1"/>
          <w:numId w:val="2"/>
        </w:numPr>
        <w:tabs>
          <w:tab w:val="left" w:pos="960"/>
          <w:tab w:val="left" w:pos="961"/>
        </w:tabs>
        <w:spacing w:before="3"/>
        <w:ind w:right="505"/>
      </w:pPr>
      <w:r>
        <w:t>The clinician meets the governance requirements of using drugs off-label including obtaining informed consent from the patient and understands that responsibility for prescribing drugs outside the terms of the product licence remains with the prescriber.</w:t>
      </w:r>
    </w:p>
    <w:p w:rsidR="00C83625" w:rsidRDefault="00A955A9">
      <w:pPr>
        <w:pStyle w:val="BodyText"/>
        <w:spacing w:line="245" w:lineRule="exact"/>
        <w:ind w:left="600"/>
      </w:pPr>
      <w:r>
        <w:t>AND</w:t>
      </w:r>
    </w:p>
    <w:p w:rsidR="00C83625" w:rsidRDefault="00A955A9">
      <w:pPr>
        <w:pStyle w:val="ListParagraph"/>
        <w:numPr>
          <w:ilvl w:val="1"/>
          <w:numId w:val="2"/>
        </w:numPr>
        <w:tabs>
          <w:tab w:val="left" w:pos="960"/>
          <w:tab w:val="left" w:pos="961"/>
        </w:tabs>
        <w:spacing w:before="3"/>
        <w:ind w:right="936"/>
      </w:pPr>
      <w:r>
        <w:t>The patient is included in prospective, departmental, clinical audit of all criteria specified in this policy and adverse events (ocular and</w:t>
      </w:r>
      <w:r>
        <w:rPr>
          <w:spacing w:val="-30"/>
        </w:rPr>
        <w:t xml:space="preserve"> </w:t>
      </w:r>
      <w:r>
        <w:t>systemic).</w:t>
      </w:r>
    </w:p>
    <w:p w:rsidR="00C83625" w:rsidRDefault="00C83625">
      <w:pPr>
        <w:pStyle w:val="BodyText"/>
        <w:spacing w:before="7"/>
        <w:rPr>
          <w:sz w:val="21"/>
        </w:rPr>
      </w:pPr>
    </w:p>
    <w:p w:rsidR="00C83625" w:rsidRDefault="00A955A9">
      <w:pPr>
        <w:pStyle w:val="Heading2"/>
        <w:ind w:left="240"/>
        <w:rPr>
          <w:rFonts w:ascii="Arial"/>
        </w:rPr>
      </w:pPr>
      <w:r>
        <w:rPr>
          <w:rFonts w:ascii="Arial"/>
        </w:rPr>
        <w:t>Monitoring and Continuation of Treatment</w:t>
      </w:r>
    </w:p>
    <w:p w:rsidR="00C83625" w:rsidRDefault="00A955A9">
      <w:pPr>
        <w:pStyle w:val="ListParagraph"/>
        <w:numPr>
          <w:ilvl w:val="0"/>
          <w:numId w:val="2"/>
        </w:numPr>
        <w:tabs>
          <w:tab w:val="left" w:pos="498"/>
        </w:tabs>
        <w:ind w:right="787" w:firstLine="0"/>
      </w:pPr>
      <w:r>
        <w:t>The effectiveness of the treatment must be closely monitored and may only continue where there</w:t>
      </w:r>
      <w:r>
        <w:rPr>
          <w:spacing w:val="-5"/>
        </w:rPr>
        <w:t xml:space="preserve"> </w:t>
      </w:r>
      <w:r>
        <w:t>is:</w:t>
      </w:r>
    </w:p>
    <w:p w:rsidR="00C83625" w:rsidRDefault="00A955A9">
      <w:pPr>
        <w:pStyle w:val="ListParagraph"/>
        <w:numPr>
          <w:ilvl w:val="1"/>
          <w:numId w:val="2"/>
        </w:numPr>
        <w:tabs>
          <w:tab w:val="left" w:pos="960"/>
          <w:tab w:val="left" w:pos="961"/>
        </w:tabs>
        <w:spacing w:before="2" w:line="237" w:lineRule="auto"/>
        <w:ind w:left="600" w:right="4836" w:firstLine="0"/>
      </w:pPr>
      <w:r>
        <w:t>evidence of persistent disease activity AND</w:t>
      </w:r>
    </w:p>
    <w:p w:rsidR="00C83625" w:rsidRDefault="00A955A9">
      <w:pPr>
        <w:pStyle w:val="ListParagraph"/>
        <w:numPr>
          <w:ilvl w:val="1"/>
          <w:numId w:val="2"/>
        </w:numPr>
        <w:tabs>
          <w:tab w:val="left" w:pos="960"/>
          <w:tab w:val="left" w:pos="961"/>
        </w:tabs>
        <w:spacing w:before="0" w:line="269" w:lineRule="exact"/>
      </w:pPr>
      <w:proofErr w:type="gramStart"/>
      <w:r>
        <w:t>evidence</w:t>
      </w:r>
      <w:proofErr w:type="gramEnd"/>
      <w:r>
        <w:t xml:space="preserve"> of continuing improvement in response to</w:t>
      </w:r>
      <w:r>
        <w:rPr>
          <w:spacing w:val="-22"/>
        </w:rPr>
        <w:t xml:space="preserve"> </w:t>
      </w:r>
      <w:r>
        <w:t>treatment.</w:t>
      </w:r>
    </w:p>
    <w:p w:rsidR="00C83625" w:rsidRDefault="00C83625">
      <w:pPr>
        <w:pStyle w:val="BodyText"/>
        <w:spacing w:before="8"/>
        <w:rPr>
          <w:sz w:val="21"/>
        </w:rPr>
      </w:pPr>
    </w:p>
    <w:p w:rsidR="00C83625" w:rsidRDefault="00A955A9">
      <w:pPr>
        <w:pStyle w:val="Heading2"/>
        <w:ind w:left="240"/>
        <w:rPr>
          <w:rFonts w:ascii="Arial"/>
        </w:rPr>
      </w:pPr>
      <w:r>
        <w:rPr>
          <w:rFonts w:ascii="Arial"/>
        </w:rPr>
        <w:t>Discontinuing</w:t>
      </w:r>
      <w:r>
        <w:rPr>
          <w:rFonts w:ascii="Arial"/>
          <w:spacing w:val="-9"/>
        </w:rPr>
        <w:t xml:space="preserve"> </w:t>
      </w:r>
      <w:r>
        <w:rPr>
          <w:rFonts w:ascii="Arial"/>
        </w:rPr>
        <w:t>Treatment</w:t>
      </w:r>
    </w:p>
    <w:p w:rsidR="00C83625" w:rsidRDefault="00C83625">
      <w:pPr>
        <w:pStyle w:val="BodyText"/>
        <w:spacing w:before="5"/>
        <w:rPr>
          <w:b/>
        </w:rPr>
      </w:pPr>
    </w:p>
    <w:p w:rsidR="00C83625" w:rsidRDefault="00A955A9">
      <w:pPr>
        <w:pStyle w:val="BodyText"/>
        <w:ind w:left="240" w:right="227"/>
      </w:pPr>
      <w:r>
        <w:t xml:space="preserve">3.) Treatment will be permanently discontinued if the following criteria indicating deterioration despite </w:t>
      </w:r>
      <w:proofErr w:type="gramStart"/>
      <w:r>
        <w:t>treatment,</w:t>
      </w:r>
      <w:proofErr w:type="gramEnd"/>
      <w:r>
        <w:t xml:space="preserve"> are</w:t>
      </w:r>
      <w:r>
        <w:rPr>
          <w:spacing w:val="-4"/>
        </w:rPr>
        <w:t xml:space="preserve"> </w:t>
      </w:r>
      <w:r>
        <w:t>met:</w:t>
      </w:r>
    </w:p>
    <w:p w:rsidR="00C83625" w:rsidRDefault="00A955A9">
      <w:pPr>
        <w:pStyle w:val="ListParagraph"/>
        <w:numPr>
          <w:ilvl w:val="1"/>
          <w:numId w:val="2"/>
        </w:numPr>
        <w:tabs>
          <w:tab w:val="left" w:pos="960"/>
          <w:tab w:val="left" w:pos="961"/>
        </w:tabs>
        <w:spacing w:before="5" w:line="237" w:lineRule="auto"/>
        <w:ind w:right="1255"/>
      </w:pPr>
      <w:r>
        <w:t>BCVA reduced to absolute level of 15 letters or less in the treated eye on 2 consecutive visits, attributed to</w:t>
      </w:r>
      <w:r>
        <w:rPr>
          <w:spacing w:val="-14"/>
        </w:rPr>
        <w:t xml:space="preserve"> </w:t>
      </w:r>
      <w:r>
        <w:t>CNV;</w:t>
      </w:r>
    </w:p>
    <w:p w:rsidR="00C83625" w:rsidRDefault="00A955A9">
      <w:pPr>
        <w:pStyle w:val="BodyText"/>
        <w:spacing w:line="253" w:lineRule="exact"/>
        <w:ind w:left="600"/>
      </w:pPr>
      <w:r>
        <w:t>OR</w:t>
      </w:r>
    </w:p>
    <w:p w:rsidR="00C83625" w:rsidRDefault="00A955A9">
      <w:pPr>
        <w:pStyle w:val="ListParagraph"/>
        <w:numPr>
          <w:ilvl w:val="1"/>
          <w:numId w:val="2"/>
        </w:numPr>
        <w:tabs>
          <w:tab w:val="left" w:pos="960"/>
          <w:tab w:val="left" w:pos="961"/>
        </w:tabs>
        <w:spacing w:before="3" w:line="237" w:lineRule="auto"/>
        <w:ind w:right="793"/>
      </w:pPr>
      <w:r>
        <w:rPr>
          <w:noProof/>
          <w:lang w:bidi="ar-SA"/>
        </w:rPr>
        <mc:AlternateContent>
          <mc:Choice Requires="wps">
            <w:drawing>
              <wp:anchor distT="0" distB="0" distL="114300" distR="114300" simplePos="0" relativeHeight="251660288" behindDoc="0" locked="0" layoutInCell="1" allowOverlap="1" wp14:anchorId="7217C393" wp14:editId="14B6C1C3">
                <wp:simplePos x="0" y="0"/>
                <wp:positionH relativeFrom="column">
                  <wp:posOffset>99695</wp:posOffset>
                </wp:positionH>
                <wp:positionV relativeFrom="paragraph">
                  <wp:posOffset>473075</wp:posOffset>
                </wp:positionV>
                <wp:extent cx="5863590" cy="0"/>
                <wp:effectExtent l="13970" t="12700" r="8890" b="63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7.85pt;margin-top:37.25pt;width:46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CMNQIAAHk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"/>
            </w:pict>
          </mc:Fallback>
        </mc:AlternateContent>
      </w:r>
      <w:r>
        <w:t>BCVA falls by 30 letters or more, compared with baseline or best recorded level since</w:t>
      </w:r>
      <w:r>
        <w:rPr>
          <w:spacing w:val="-3"/>
        </w:rPr>
        <w:t xml:space="preserve"> </w:t>
      </w:r>
      <w:r>
        <w:t>baseline</w:t>
      </w:r>
    </w:p>
    <w:p w:rsidR="00C83625" w:rsidRDefault="00C83625">
      <w:pPr>
        <w:spacing w:line="237" w:lineRule="auto"/>
        <w:sectPr w:rsidR="00C83625" w:rsidSect="002B590C">
          <w:headerReference w:type="default" r:id="rId9"/>
          <w:footerReference w:type="default" r:id="rId10"/>
          <w:type w:val="continuous"/>
          <w:pgSz w:w="11920" w:h="16850"/>
          <w:pgMar w:top="1700" w:right="1220" w:bottom="1180" w:left="1200" w:header="278" w:footer="680" w:gutter="0"/>
          <w:pgNumType w:start="1"/>
          <w:cols w:space="720"/>
          <w:docGrid w:linePitch="299"/>
        </w:sectPr>
      </w:pPr>
    </w:p>
    <w:p w:rsidR="00C83625" w:rsidRDefault="00C83625">
      <w:pPr>
        <w:pStyle w:val="BodyText"/>
        <w:spacing w:before="4"/>
        <w:rPr>
          <w:sz w:val="3"/>
        </w:rPr>
      </w:pPr>
    </w:p>
    <w:p w:rsidR="00C83625" w:rsidRDefault="00A955A9">
      <w:pPr>
        <w:pStyle w:val="BodyText"/>
        <w:ind w:left="127"/>
        <w:rPr>
          <w:sz w:val="20"/>
        </w:rPr>
      </w:pPr>
      <w:r>
        <w:rPr>
          <w:noProof/>
          <w:sz w:val="20"/>
          <w:lang w:bidi="ar-SA"/>
        </w:rPr>
        <mc:AlternateContent>
          <mc:Choice Requires="wps">
            <w:drawing>
              <wp:inline distT="0" distB="0" distL="0" distR="0">
                <wp:extent cx="5869940" cy="1638300"/>
                <wp:effectExtent l="8890" t="6985" r="7620" b="12065"/>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638300"/>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3625" w:rsidRDefault="00A955A9">
                            <w:pPr>
                              <w:pStyle w:val="BodyText"/>
                              <w:spacing w:line="248" w:lineRule="exact"/>
                              <w:ind w:left="463"/>
                            </w:pPr>
                            <w:r>
                              <w:t>OR</w:t>
                            </w:r>
                          </w:p>
                          <w:p w:rsidR="00C83625" w:rsidRDefault="00A955A9">
                            <w:pPr>
                              <w:pStyle w:val="BodyText"/>
                              <w:numPr>
                                <w:ilvl w:val="0"/>
                                <w:numId w:val="1"/>
                              </w:numPr>
                              <w:tabs>
                                <w:tab w:val="left" w:pos="823"/>
                                <w:tab w:val="left" w:pos="824"/>
                              </w:tabs>
                              <w:spacing w:before="1"/>
                              <w:ind w:right="278"/>
                            </w:pPr>
                            <w:r>
                              <w:t>There is evidence of deterioration in the morphology of the CNV lesion despite optimum treatment, assessed over 3 consecutive visits. Relevant evidence</w:t>
                            </w:r>
                            <w:r>
                              <w:rPr>
                                <w:spacing w:val="-43"/>
                              </w:rPr>
                              <w:t xml:space="preserve"> </w:t>
                            </w:r>
                            <w:r>
                              <w:t>includes change in lesion size; new haemorrhages or</w:t>
                            </w:r>
                            <w:r>
                              <w:rPr>
                                <w:spacing w:val="-20"/>
                              </w:rPr>
                              <w:t xml:space="preserve"> </w:t>
                            </w:r>
                            <w:r>
                              <w:t>exudates.</w:t>
                            </w:r>
                          </w:p>
                          <w:p w:rsidR="00C83625" w:rsidRDefault="00C83625">
                            <w:pPr>
                              <w:pStyle w:val="BodyText"/>
                              <w:spacing w:before="5"/>
                              <w:rPr>
                                <w:sz w:val="21"/>
                              </w:rPr>
                            </w:pPr>
                          </w:p>
                          <w:p w:rsidR="00C83625" w:rsidRDefault="00A955A9">
                            <w:pPr>
                              <w:spacing w:before="1"/>
                              <w:ind w:left="103"/>
                              <w:rPr>
                                <w:b/>
                              </w:rPr>
                            </w:pPr>
                            <w:r>
                              <w:rPr>
                                <w:b/>
                              </w:rPr>
                              <w:t>Alternative Provision</w:t>
                            </w:r>
                          </w:p>
                          <w:p w:rsidR="00C83625" w:rsidRDefault="00C83625">
                            <w:pPr>
                              <w:pStyle w:val="BodyText"/>
                              <w:spacing w:before="5"/>
                            </w:pPr>
                          </w:p>
                          <w:p w:rsidR="00C83625" w:rsidRDefault="00A955A9">
                            <w:pPr>
                              <w:pStyle w:val="BodyText"/>
                              <w:ind w:left="103"/>
                            </w:pPr>
                            <w:r>
                              <w:t xml:space="preserve">4.) </w:t>
                            </w:r>
                            <w:proofErr w:type="spellStart"/>
                            <w:r>
                              <w:t>Ranibizumab</w:t>
                            </w:r>
                            <w:proofErr w:type="spellEnd"/>
                            <w:r>
                              <w:t xml:space="preserve"> is commissioned only for patients allergic to Bevacizumab but otherwise meeting criteria in this policy.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2.2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" filled="f" strokeweight=".49pt">
                <v:textbox inset="0,0,0,0">
                  <w:txbxContent>
                    <w:p w:rsidR="00C83625" w:rsidRDefault="00A955A9">
                      <w:pPr>
                        <w:pStyle w:val="BodyText"/>
                        <w:spacing w:line="248" w:lineRule="exact"/>
                        <w:ind w:left="463"/>
                      </w:pPr>
                      <w:r>
                        <w:t>OR</w:t>
                      </w:r>
                    </w:p>
                    <w:p w:rsidR="00C83625" w:rsidRDefault="00A955A9">
                      <w:pPr>
                        <w:pStyle w:val="BodyText"/>
                        <w:numPr>
                          <w:ilvl w:val="0"/>
                          <w:numId w:val="1"/>
                        </w:numPr>
                        <w:tabs>
                          <w:tab w:val="left" w:pos="823"/>
                          <w:tab w:val="left" w:pos="824"/>
                        </w:tabs>
                        <w:spacing w:before="1"/>
                        <w:ind w:right="278"/>
                      </w:pPr>
                      <w:r>
                        <w:t>There is evidence of deterioration in the morphology of the CNV lesion despite optimum treatment, assessed over 3 consecutive visits. Relevant evidence</w:t>
                      </w:r>
                      <w:r>
                        <w:rPr>
                          <w:spacing w:val="-43"/>
                        </w:rPr>
                        <w:t xml:space="preserve"> </w:t>
                      </w:r>
                      <w:r>
                        <w:t>includes change in lesion size; new haemorrhages or</w:t>
                      </w:r>
                      <w:r>
                        <w:rPr>
                          <w:spacing w:val="-20"/>
                        </w:rPr>
                        <w:t xml:space="preserve"> </w:t>
                      </w:r>
                      <w:r>
                        <w:t>exudates.</w:t>
                      </w:r>
                    </w:p>
                    <w:p w:rsidR="00C83625" w:rsidRDefault="00C83625">
                      <w:pPr>
                        <w:pStyle w:val="BodyText"/>
                        <w:spacing w:before="5"/>
                        <w:rPr>
                          <w:sz w:val="21"/>
                        </w:rPr>
                      </w:pPr>
                    </w:p>
                    <w:p w:rsidR="00C83625" w:rsidRDefault="00A955A9">
                      <w:pPr>
                        <w:spacing w:before="1"/>
                        <w:ind w:left="103"/>
                        <w:rPr>
                          <w:b/>
                        </w:rPr>
                      </w:pPr>
                      <w:r>
                        <w:rPr>
                          <w:b/>
                        </w:rPr>
                        <w:t>Alternative Provision</w:t>
                      </w:r>
                    </w:p>
                    <w:p w:rsidR="00C83625" w:rsidRDefault="00C83625">
                      <w:pPr>
                        <w:pStyle w:val="BodyText"/>
                        <w:spacing w:before="5"/>
                      </w:pPr>
                    </w:p>
                    <w:p w:rsidR="00C83625" w:rsidRDefault="00A955A9">
                      <w:pPr>
                        <w:pStyle w:val="BodyText"/>
                        <w:ind w:left="103"/>
                      </w:pPr>
                      <w:r>
                        <w:t xml:space="preserve">4.) </w:t>
                      </w:r>
                      <w:proofErr w:type="spellStart"/>
                      <w:r>
                        <w:t>Ranibizumab</w:t>
                      </w:r>
                      <w:proofErr w:type="spellEnd"/>
                      <w:r>
                        <w:t xml:space="preserve"> is commissioned only for patients allergic to Bevacizumab but otherwise meeting criteria in this policy.</w:t>
                      </w:r>
                    </w:p>
                  </w:txbxContent>
                </v:textbox>
                <w10:anchorlock/>
              </v:shape>
            </w:pict>
          </mc:Fallback>
        </mc:AlternateContent>
      </w:r>
    </w:p>
    <w:p w:rsidR="00C83625" w:rsidRDefault="00C83625">
      <w:pPr>
        <w:pStyle w:val="BodyText"/>
        <w:spacing w:before="9"/>
        <w:rPr>
          <w:sz w:val="14"/>
        </w:rPr>
      </w:pPr>
    </w:p>
    <w:p w:rsidR="00C83625" w:rsidRDefault="00A955A9">
      <w:pPr>
        <w:pStyle w:val="Heading1"/>
        <w:spacing w:before="93"/>
      </w:pPr>
      <w:r>
        <w:rPr>
          <w:noProof/>
          <w:lang w:bidi="ar-SA"/>
        </w:rPr>
        <mc:AlternateContent>
          <mc:Choice Requires="wps">
            <w:drawing>
              <wp:anchor distT="0" distB="0" distL="0" distR="0" simplePos="0" relativeHeight="251657216" behindDoc="1" locked="0" layoutInCell="1" allowOverlap="1">
                <wp:simplePos x="0" y="0"/>
                <wp:positionH relativeFrom="page">
                  <wp:posOffset>845820</wp:posOffset>
                </wp:positionH>
                <wp:positionV relativeFrom="paragraph">
                  <wp:posOffset>266700</wp:posOffset>
                </wp:positionV>
                <wp:extent cx="5869940" cy="664845"/>
                <wp:effectExtent l="7620" t="11430" r="8890" b="952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64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3625" w:rsidRDefault="00A955A9">
                            <w:pPr>
                              <w:pStyle w:val="BodyText"/>
                              <w:ind w:left="103" w:right="159"/>
                            </w:pPr>
                            <w:r>
                              <w:t>Bevacizumab is not licenced in the UK for treating choroidal neovascularisation although there is some limited evidence of its efficacy. Treatment is therefore restricted to those that meet the criteria set out in this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6.6pt;margin-top:21pt;width:462.2pt;height:52.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" filled="f" strokeweight=".48pt">
                <v:textbox inset="0,0,0,0">
                  <w:txbxContent>
                    <w:p w:rsidR="00C83625" w:rsidRDefault="00A955A9">
                      <w:pPr>
                        <w:pStyle w:val="BodyText"/>
                        <w:ind w:left="103" w:right="159"/>
                      </w:pPr>
                      <w:r>
                        <w:t>Bevacizumab is not licenced in the UK for treating choroidal neovascularisation although there is some limited evidence of its efficacy. Treatment is therefore restricted to those that meet the criteria set out in this policy.</w:t>
                      </w:r>
                    </w:p>
                  </w:txbxContent>
                </v:textbox>
                <w10:wrap type="topAndBottom" anchorx="page"/>
              </v:shape>
            </w:pict>
          </mc:Fallback>
        </mc:AlternateContent>
      </w:r>
      <w:r>
        <w:t>Rationale:</w:t>
      </w:r>
    </w:p>
    <w:p w:rsidR="00C83625" w:rsidRDefault="00C83625">
      <w:pPr>
        <w:pStyle w:val="BodyText"/>
        <w:spacing w:before="5"/>
        <w:rPr>
          <w:b/>
          <w:sz w:val="23"/>
        </w:rPr>
      </w:pPr>
    </w:p>
    <w:p w:rsidR="00D14222" w:rsidRPr="00FC6B70" w:rsidRDefault="00A955A9" w:rsidP="00FC6B70">
      <w:pPr>
        <w:spacing w:before="1"/>
        <w:ind w:left="240"/>
        <w:rPr>
          <w:sz w:val="24"/>
        </w:rPr>
      </w:pPr>
      <w:r>
        <w:rPr>
          <w:noProof/>
          <w:lang w:bidi="ar-SA"/>
        </w:rPr>
        <mc:AlternateContent>
          <mc:Choice Requires="wps">
            <w:drawing>
              <wp:anchor distT="0" distB="0" distL="0" distR="0" simplePos="0" relativeHeight="251658240" behindDoc="1" locked="0" layoutInCell="1" allowOverlap="1">
                <wp:simplePos x="0" y="0"/>
                <wp:positionH relativeFrom="page">
                  <wp:posOffset>842645</wp:posOffset>
                </wp:positionH>
                <wp:positionV relativeFrom="paragraph">
                  <wp:posOffset>208915</wp:posOffset>
                </wp:positionV>
                <wp:extent cx="5869940" cy="5589270"/>
                <wp:effectExtent l="0" t="0" r="16510" b="1143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5589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4222" w:rsidRDefault="00D14222" w:rsidP="00D14222">
                            <w:pPr>
                              <w:ind w:left="57"/>
                              <w:rPr>
                                <w:b/>
                              </w:rPr>
                            </w:pPr>
                            <w:r>
                              <w:rPr>
                                <w:b/>
                              </w:rPr>
                              <w:t xml:space="preserve">What is choroidal </w:t>
                            </w:r>
                            <w:proofErr w:type="gramStart"/>
                            <w:r>
                              <w:rPr>
                                <w:b/>
                              </w:rPr>
                              <w:t>neovascularisation</w:t>
                            </w:r>
                            <w:proofErr w:type="gramEnd"/>
                          </w:p>
                          <w:p w:rsidR="00D14222" w:rsidRDefault="00D14222" w:rsidP="00D14222">
                            <w:pPr>
                              <w:ind w:left="57"/>
                            </w:pPr>
                            <w:r>
                              <w:t xml:space="preserve">Choroidal neovascularisation is the growth of abnormal blood vessels beneath the retina. These blood vessels tend to leak fluid into the retina, causing the layers of the retina to separate, resulting in deterioration of central vision.  </w:t>
                            </w:r>
                          </w:p>
                          <w:p w:rsidR="00D14222" w:rsidRDefault="00D14222" w:rsidP="00D14222">
                            <w:pPr>
                              <w:ind w:left="57"/>
                            </w:pPr>
                          </w:p>
                          <w:p w:rsidR="00D14222" w:rsidRDefault="00D14222" w:rsidP="00D14222">
                            <w:pPr>
                              <w:ind w:left="57"/>
                              <w:rPr>
                                <w:b/>
                              </w:rPr>
                            </w:pPr>
                            <w:r>
                              <w:rPr>
                                <w:b/>
                              </w:rPr>
                              <w:t>What is Bevacizumab (</w:t>
                            </w:r>
                            <w:proofErr w:type="spellStart"/>
                            <w:proofErr w:type="gramStart"/>
                            <w:r>
                              <w:rPr>
                                <w:b/>
                              </w:rPr>
                              <w:t>Avastin</w:t>
                            </w:r>
                            <w:proofErr w:type="spellEnd"/>
                            <w:proofErr w:type="gramEnd"/>
                            <w:r>
                              <w:rPr>
                                <w:b/>
                              </w:rPr>
                              <w:t>)</w:t>
                            </w:r>
                          </w:p>
                          <w:p w:rsidR="00D14222" w:rsidRDefault="00D14222" w:rsidP="00D14222">
                            <w:pPr>
                              <w:ind w:left="57"/>
                            </w:pPr>
                            <w:r>
                              <w:t>Bevacizumab is a drug that blocks a substance called vascular endothelial growth factor (VEGF) which stimulates the growth of new blood vessels in the eye. This helps to reduce damage to the retina, slowing vision loss.</w:t>
                            </w:r>
                          </w:p>
                          <w:p w:rsidR="00D14222" w:rsidRDefault="00D14222" w:rsidP="00D14222">
                            <w:pPr>
                              <w:ind w:left="57"/>
                            </w:pPr>
                          </w:p>
                          <w:p w:rsidR="00D14222" w:rsidRDefault="00D14222" w:rsidP="00D14222">
                            <w:pPr>
                              <w:ind w:left="57"/>
                              <w:rPr>
                                <w:b/>
                              </w:rPr>
                            </w:pPr>
                            <w:r>
                              <w:rPr>
                                <w:b/>
                              </w:rPr>
                              <w:t>What does the policy mean for me?</w:t>
                            </w:r>
                          </w:p>
                          <w:p w:rsidR="00D14222" w:rsidRDefault="00D14222" w:rsidP="00D14222">
                            <w:pPr>
                              <w:ind w:left="57"/>
                            </w:pPr>
                            <w:r>
                              <w:t>Bevacizumab is not licenced in the UK for treating choroidal neovascularisation. However, there is evidence through clinical trials to show that is it an effective treatment for this condition, and therefore it is sometimes made available to patients through the NHS. This policy sets out the clinical criteria that a patient needs to meet in order to access this treatment. If your doctor believes that you meet the criteria set out in the policy the treatment would be funded by the NHS.</w:t>
                            </w:r>
                          </w:p>
                          <w:p w:rsidR="00D14222" w:rsidRDefault="00D14222" w:rsidP="00D14222"/>
                          <w:p w:rsidR="00D14222" w:rsidRDefault="00D14222" w:rsidP="00D14222">
                            <w:pPr>
                              <w:ind w:left="57"/>
                              <w:rPr>
                                <w:b/>
                              </w:rPr>
                            </w:pPr>
                            <w:r w:rsidRPr="00A15E5B">
                              <w:rPr>
                                <w:b/>
                              </w:rPr>
                              <w:t xml:space="preserve">Glossary of </w:t>
                            </w:r>
                            <w:r>
                              <w:rPr>
                                <w:b/>
                              </w:rPr>
                              <w:t xml:space="preserve">clinical </w:t>
                            </w:r>
                            <w:r w:rsidRPr="00A15E5B">
                              <w:rPr>
                                <w:b/>
                              </w:rPr>
                              <w:t>terms contained within the policy</w:t>
                            </w:r>
                          </w:p>
                          <w:p w:rsidR="00D14222" w:rsidRPr="008E0451" w:rsidRDefault="00D14222" w:rsidP="00FC6B70">
                            <w:pPr>
                              <w:pStyle w:val="Default"/>
                              <w:numPr>
                                <w:ilvl w:val="0"/>
                                <w:numId w:val="3"/>
                              </w:numPr>
                              <w:ind w:right="57"/>
                              <w:rPr>
                                <w:color w:val="auto"/>
                                <w:sz w:val="22"/>
                                <w:szCs w:val="22"/>
                              </w:rPr>
                            </w:pPr>
                            <w:proofErr w:type="spellStart"/>
                            <w:r w:rsidRPr="008E0451">
                              <w:rPr>
                                <w:b/>
                                <w:sz w:val="22"/>
                                <w:szCs w:val="22"/>
                              </w:rPr>
                              <w:t>Angioid</w:t>
                            </w:r>
                            <w:proofErr w:type="spellEnd"/>
                            <w:r w:rsidRPr="008E0451">
                              <w:rPr>
                                <w:b/>
                                <w:sz w:val="22"/>
                                <w:szCs w:val="22"/>
                              </w:rPr>
                              <w:t xml:space="preserve"> streaks</w:t>
                            </w:r>
                            <w:r w:rsidRPr="008E0451">
                              <w:rPr>
                                <w:sz w:val="22"/>
                                <w:szCs w:val="22"/>
                              </w:rPr>
                              <w:t xml:space="preserve"> - </w:t>
                            </w:r>
                            <w:proofErr w:type="spellStart"/>
                            <w:r w:rsidRPr="008E0451">
                              <w:rPr>
                                <w:color w:val="auto"/>
                                <w:sz w:val="22"/>
                                <w:szCs w:val="22"/>
                                <w:lang w:val="en"/>
                              </w:rPr>
                              <w:t>Angioid</w:t>
                            </w:r>
                            <w:proofErr w:type="spellEnd"/>
                            <w:r w:rsidRPr="008E0451">
                              <w:rPr>
                                <w:color w:val="auto"/>
                                <w:sz w:val="22"/>
                                <w:szCs w:val="22"/>
                                <w:lang w:val="en"/>
                              </w:rPr>
                              <w:t xml:space="preserve"> streaks are bilateral, narrow, jagged lines, in the retina resulting from breaks in a weakened Bruch’s membrane (inner membrane of the retina).</w:t>
                            </w:r>
                          </w:p>
                          <w:p w:rsidR="00D14222" w:rsidRPr="008E0451" w:rsidRDefault="00D14222" w:rsidP="00FC6B70">
                            <w:pPr>
                              <w:pStyle w:val="Default"/>
                              <w:numPr>
                                <w:ilvl w:val="0"/>
                                <w:numId w:val="3"/>
                              </w:numPr>
                              <w:ind w:right="57"/>
                              <w:rPr>
                                <w:sz w:val="22"/>
                                <w:szCs w:val="22"/>
                              </w:rPr>
                            </w:pPr>
                            <w:r w:rsidRPr="008E0451">
                              <w:rPr>
                                <w:b/>
                                <w:sz w:val="22"/>
                                <w:szCs w:val="22"/>
                              </w:rPr>
                              <w:t>Retinal dystrophies</w:t>
                            </w:r>
                            <w:r w:rsidRPr="008E0451">
                              <w:rPr>
                                <w:sz w:val="22"/>
                                <w:szCs w:val="22"/>
                              </w:rPr>
                              <w:t xml:space="preserve"> - A retinal dystrophy is a condition associated with reduced or deteriorating vision in both eyes. It is not a single condition but rather a general name given to a wide range of eye conditions. It is usually associated with an inherited condition</w:t>
                            </w:r>
                          </w:p>
                          <w:p w:rsidR="00D14222" w:rsidRPr="008E0451" w:rsidRDefault="00D14222" w:rsidP="00FC6B70">
                            <w:pPr>
                              <w:pStyle w:val="Default"/>
                              <w:numPr>
                                <w:ilvl w:val="0"/>
                                <w:numId w:val="3"/>
                              </w:numPr>
                              <w:ind w:right="57"/>
                              <w:rPr>
                                <w:sz w:val="22"/>
                                <w:szCs w:val="22"/>
                              </w:rPr>
                            </w:pPr>
                            <w:r w:rsidRPr="008E0451">
                              <w:rPr>
                                <w:b/>
                                <w:sz w:val="22"/>
                                <w:szCs w:val="22"/>
                              </w:rPr>
                              <w:t>Fluorescein angiography</w:t>
                            </w:r>
                            <w:r w:rsidRPr="008E0451">
                              <w:rPr>
                                <w:sz w:val="22"/>
                                <w:szCs w:val="22"/>
                              </w:rPr>
                              <w:t xml:space="preserve"> - </w:t>
                            </w:r>
                            <w:r w:rsidRPr="008E0451">
                              <w:rPr>
                                <w:color w:val="auto"/>
                                <w:sz w:val="22"/>
                                <w:szCs w:val="22"/>
                                <w:lang w:val="en"/>
                              </w:rPr>
                              <w:t>A fluorescein angiography is a medical procedure in which a fluorescent dye is injected into the bloodstream. The dye highlights the blood vessels in the back of the eye so they can be photographed.</w:t>
                            </w:r>
                          </w:p>
                          <w:p w:rsidR="00D14222" w:rsidRPr="008E0451" w:rsidRDefault="00D14222" w:rsidP="00FC6B70">
                            <w:pPr>
                              <w:pStyle w:val="Default"/>
                              <w:numPr>
                                <w:ilvl w:val="0"/>
                                <w:numId w:val="3"/>
                              </w:numPr>
                              <w:ind w:right="57"/>
                              <w:rPr>
                                <w:sz w:val="22"/>
                                <w:szCs w:val="22"/>
                              </w:rPr>
                            </w:pPr>
                            <w:r w:rsidRPr="008E0451">
                              <w:rPr>
                                <w:b/>
                                <w:sz w:val="22"/>
                                <w:szCs w:val="22"/>
                              </w:rPr>
                              <w:t>Fovea</w:t>
                            </w:r>
                            <w:r w:rsidRPr="008E0451">
                              <w:rPr>
                                <w:sz w:val="22"/>
                                <w:szCs w:val="22"/>
                              </w:rPr>
                              <w:t xml:space="preserve"> - </w:t>
                            </w:r>
                            <w:r w:rsidRPr="008E0451">
                              <w:rPr>
                                <w:sz w:val="22"/>
                                <w:szCs w:val="22"/>
                                <w:lang w:val="en"/>
                              </w:rPr>
                              <w:t xml:space="preserve">a small </w:t>
                            </w:r>
                            <w:r w:rsidR="00A955A9" w:rsidRPr="008E0451">
                              <w:rPr>
                                <w:sz w:val="22"/>
                                <w:szCs w:val="22"/>
                                <w:lang w:val="en"/>
                              </w:rPr>
                              <w:t>thin area of</w:t>
                            </w:r>
                            <w:r w:rsidRPr="008E0451">
                              <w:rPr>
                                <w:sz w:val="22"/>
                                <w:szCs w:val="22"/>
                                <w:lang w:val="en"/>
                              </w:rPr>
                              <w:t xml:space="preserve"> the retina of the eye where visual acuity is highest</w:t>
                            </w:r>
                          </w:p>
                          <w:p w:rsidR="00D14222" w:rsidRPr="008E0451" w:rsidRDefault="00D14222" w:rsidP="00FC6B70">
                            <w:pPr>
                              <w:pStyle w:val="Default"/>
                              <w:numPr>
                                <w:ilvl w:val="0"/>
                                <w:numId w:val="3"/>
                              </w:numPr>
                              <w:ind w:right="57"/>
                              <w:rPr>
                                <w:sz w:val="22"/>
                                <w:szCs w:val="22"/>
                              </w:rPr>
                            </w:pPr>
                            <w:proofErr w:type="spellStart"/>
                            <w:r w:rsidRPr="008E0451">
                              <w:rPr>
                                <w:b/>
                                <w:sz w:val="22"/>
                                <w:szCs w:val="22"/>
                              </w:rPr>
                              <w:t>Disciform</w:t>
                            </w:r>
                            <w:proofErr w:type="spellEnd"/>
                            <w:r w:rsidRPr="008E0451">
                              <w:rPr>
                                <w:b/>
                                <w:sz w:val="22"/>
                                <w:szCs w:val="22"/>
                              </w:rPr>
                              <w:t xml:space="preserve"> scar</w:t>
                            </w:r>
                            <w:r w:rsidRPr="008E0451">
                              <w:rPr>
                                <w:sz w:val="22"/>
                                <w:szCs w:val="22"/>
                              </w:rPr>
                              <w:t xml:space="preserve"> – a round or oval scar underneath the retina usually seen in end-stage AMD that developed as a result of recurrent haemorrhage. </w:t>
                            </w:r>
                          </w:p>
                          <w:p w:rsidR="00C83625" w:rsidRPr="008E0451" w:rsidRDefault="00D14222" w:rsidP="00D14222">
                            <w:pPr>
                              <w:pStyle w:val="BodyText"/>
                              <w:spacing w:line="244" w:lineRule="auto"/>
                              <w:ind w:left="103" w:right="319"/>
                            </w:pPr>
                            <w:r w:rsidRPr="008E0451">
                              <w:rPr>
                                <w:b/>
                              </w:rPr>
                              <w:t>BCVA</w:t>
                            </w:r>
                            <w:r w:rsidRPr="008E0451">
                              <w:t xml:space="preserve"> – This stands for best corrected visual acuity, which is a measurement of the best vision that can be achieved through correction such as glasses.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6.35pt;margin-top:16.45pt;width:462.2pt;height:440.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T3iAIAACA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" filled="f" strokeweight=".48pt">
                <v:textbox inset="0,0,0,0">
                  <w:txbxContent>
                    <w:p w:rsidR="00D14222" w:rsidRDefault="00D14222" w:rsidP="00D14222">
                      <w:pPr>
                        <w:ind w:left="57"/>
                        <w:rPr>
                          <w:b/>
                        </w:rPr>
                      </w:pPr>
                      <w:r>
                        <w:rPr>
                          <w:b/>
                        </w:rPr>
                        <w:t xml:space="preserve">What is choroidal </w:t>
                      </w:r>
                      <w:proofErr w:type="gramStart"/>
                      <w:r>
                        <w:rPr>
                          <w:b/>
                        </w:rPr>
                        <w:t>neovascularisation</w:t>
                      </w:r>
                      <w:proofErr w:type="gramEnd"/>
                    </w:p>
                    <w:p w:rsidR="00D14222" w:rsidRDefault="00D14222" w:rsidP="00D14222">
                      <w:pPr>
                        <w:ind w:left="57"/>
                      </w:pPr>
                      <w:r>
                        <w:t xml:space="preserve">Choroidal neovascularisation is the growth of abnormal blood vessels beneath the retina. These blood vessels tend to leak fluid into the retina, causing the layers of the retina to separate, resulting in deterioration of central vision.  </w:t>
                      </w:r>
                    </w:p>
                    <w:p w:rsidR="00D14222" w:rsidRDefault="00D14222" w:rsidP="00D14222">
                      <w:pPr>
                        <w:ind w:left="57"/>
                      </w:pPr>
                    </w:p>
                    <w:p w:rsidR="00D14222" w:rsidRDefault="00D14222" w:rsidP="00D14222">
                      <w:pPr>
                        <w:ind w:left="57"/>
                        <w:rPr>
                          <w:b/>
                        </w:rPr>
                      </w:pPr>
                      <w:r>
                        <w:rPr>
                          <w:b/>
                        </w:rPr>
                        <w:t>What is Bevacizumab (</w:t>
                      </w:r>
                      <w:proofErr w:type="spellStart"/>
                      <w:proofErr w:type="gramStart"/>
                      <w:r>
                        <w:rPr>
                          <w:b/>
                        </w:rPr>
                        <w:t>Avastin</w:t>
                      </w:r>
                      <w:proofErr w:type="spellEnd"/>
                      <w:proofErr w:type="gramEnd"/>
                      <w:r>
                        <w:rPr>
                          <w:b/>
                        </w:rPr>
                        <w:t>)</w:t>
                      </w:r>
                    </w:p>
                    <w:p w:rsidR="00D14222" w:rsidRDefault="00D14222" w:rsidP="00D14222">
                      <w:pPr>
                        <w:ind w:left="57"/>
                      </w:pPr>
                      <w:r>
                        <w:t>Bevacizumab is a drug that blocks a substance called vascular endothelial growth factor (VEGF) which stimulates the growth of new blood vessels in the eye. This helps to reduce damage to the retina, slowing vision loss.</w:t>
                      </w:r>
                    </w:p>
                    <w:p w:rsidR="00D14222" w:rsidRDefault="00D14222" w:rsidP="00D14222">
                      <w:pPr>
                        <w:ind w:left="57"/>
                      </w:pPr>
                    </w:p>
                    <w:p w:rsidR="00D14222" w:rsidRDefault="00D14222" w:rsidP="00D14222">
                      <w:pPr>
                        <w:ind w:left="57"/>
                        <w:rPr>
                          <w:b/>
                        </w:rPr>
                      </w:pPr>
                      <w:r>
                        <w:rPr>
                          <w:b/>
                        </w:rPr>
                        <w:t>What does the policy mean for me?</w:t>
                      </w:r>
                    </w:p>
                    <w:p w:rsidR="00D14222" w:rsidRDefault="00D14222" w:rsidP="00D14222">
                      <w:pPr>
                        <w:ind w:left="57"/>
                      </w:pPr>
                      <w:r>
                        <w:t>Bevacizumab is not licenced in the UK for treating choroidal neovascularisation. However, there is evidence through clinical trials to show that is it an effective treatment for this condition, and therefore it is sometimes made available to patients through the NHS. This policy sets out the clinical criteria that a patient needs to meet in order to access this treatment. If your doctor believes that you meet the criteria set out in the policy the treatment would be funded by the NHS.</w:t>
                      </w:r>
                    </w:p>
                    <w:p w:rsidR="00D14222" w:rsidRDefault="00D14222" w:rsidP="00D14222"/>
                    <w:p w:rsidR="00D14222" w:rsidRDefault="00D14222" w:rsidP="00D14222">
                      <w:pPr>
                        <w:ind w:left="57"/>
                        <w:rPr>
                          <w:b/>
                        </w:rPr>
                      </w:pPr>
                      <w:r w:rsidRPr="00A15E5B">
                        <w:rPr>
                          <w:b/>
                        </w:rPr>
                        <w:t xml:space="preserve">Glossary of </w:t>
                      </w:r>
                      <w:r>
                        <w:rPr>
                          <w:b/>
                        </w:rPr>
                        <w:t xml:space="preserve">clinical </w:t>
                      </w:r>
                      <w:r w:rsidRPr="00A15E5B">
                        <w:rPr>
                          <w:b/>
                        </w:rPr>
                        <w:t>terms contained within the policy</w:t>
                      </w:r>
                    </w:p>
                    <w:p w:rsidR="00D14222" w:rsidRPr="008E0451" w:rsidRDefault="00D14222" w:rsidP="00FC6B70">
                      <w:pPr>
                        <w:pStyle w:val="Default"/>
                        <w:numPr>
                          <w:ilvl w:val="0"/>
                          <w:numId w:val="3"/>
                        </w:numPr>
                        <w:ind w:right="57"/>
                        <w:rPr>
                          <w:color w:val="auto"/>
                          <w:sz w:val="22"/>
                          <w:szCs w:val="22"/>
                        </w:rPr>
                      </w:pPr>
                      <w:proofErr w:type="spellStart"/>
                      <w:r w:rsidRPr="008E0451">
                        <w:rPr>
                          <w:b/>
                          <w:sz w:val="22"/>
                          <w:szCs w:val="22"/>
                        </w:rPr>
                        <w:t>Angioid</w:t>
                      </w:r>
                      <w:proofErr w:type="spellEnd"/>
                      <w:r w:rsidRPr="008E0451">
                        <w:rPr>
                          <w:b/>
                          <w:sz w:val="22"/>
                          <w:szCs w:val="22"/>
                        </w:rPr>
                        <w:t xml:space="preserve"> streaks</w:t>
                      </w:r>
                      <w:r w:rsidRPr="008E0451">
                        <w:rPr>
                          <w:sz w:val="22"/>
                          <w:szCs w:val="22"/>
                        </w:rPr>
                        <w:t xml:space="preserve"> - </w:t>
                      </w:r>
                      <w:proofErr w:type="spellStart"/>
                      <w:r w:rsidRPr="008E0451">
                        <w:rPr>
                          <w:color w:val="auto"/>
                          <w:sz w:val="22"/>
                          <w:szCs w:val="22"/>
                          <w:lang w:val="en"/>
                        </w:rPr>
                        <w:t>Angioid</w:t>
                      </w:r>
                      <w:proofErr w:type="spellEnd"/>
                      <w:r w:rsidRPr="008E0451">
                        <w:rPr>
                          <w:color w:val="auto"/>
                          <w:sz w:val="22"/>
                          <w:szCs w:val="22"/>
                          <w:lang w:val="en"/>
                        </w:rPr>
                        <w:t xml:space="preserve"> streaks are bilateral, narrow, jagged lines, in the retina resulting from breaks in a weakened Bruch’s membrane (inner membrane of the retina).</w:t>
                      </w:r>
                    </w:p>
                    <w:p w:rsidR="00D14222" w:rsidRPr="008E0451" w:rsidRDefault="00D14222" w:rsidP="00FC6B70">
                      <w:pPr>
                        <w:pStyle w:val="Default"/>
                        <w:numPr>
                          <w:ilvl w:val="0"/>
                          <w:numId w:val="3"/>
                        </w:numPr>
                        <w:ind w:right="57"/>
                        <w:rPr>
                          <w:sz w:val="22"/>
                          <w:szCs w:val="22"/>
                        </w:rPr>
                      </w:pPr>
                      <w:r w:rsidRPr="008E0451">
                        <w:rPr>
                          <w:b/>
                          <w:sz w:val="22"/>
                          <w:szCs w:val="22"/>
                        </w:rPr>
                        <w:t>Retinal dystrophies</w:t>
                      </w:r>
                      <w:r w:rsidRPr="008E0451">
                        <w:rPr>
                          <w:sz w:val="22"/>
                          <w:szCs w:val="22"/>
                        </w:rPr>
                        <w:t xml:space="preserve"> - A retinal dystrophy is a condition associated with reduced or deteriorating vision in both eyes. It is not a single condition but rather a general name given to a wide range of eye conditions. It is usually associated with an inherited condition</w:t>
                      </w:r>
                    </w:p>
                    <w:p w:rsidR="00D14222" w:rsidRPr="008E0451" w:rsidRDefault="00D14222" w:rsidP="00FC6B70">
                      <w:pPr>
                        <w:pStyle w:val="Default"/>
                        <w:numPr>
                          <w:ilvl w:val="0"/>
                          <w:numId w:val="3"/>
                        </w:numPr>
                        <w:ind w:right="57"/>
                        <w:rPr>
                          <w:sz w:val="22"/>
                          <w:szCs w:val="22"/>
                        </w:rPr>
                      </w:pPr>
                      <w:r w:rsidRPr="008E0451">
                        <w:rPr>
                          <w:b/>
                          <w:sz w:val="22"/>
                          <w:szCs w:val="22"/>
                        </w:rPr>
                        <w:t>Fluorescein angiography</w:t>
                      </w:r>
                      <w:r w:rsidRPr="008E0451">
                        <w:rPr>
                          <w:sz w:val="22"/>
                          <w:szCs w:val="22"/>
                        </w:rPr>
                        <w:t xml:space="preserve"> - </w:t>
                      </w:r>
                      <w:r w:rsidRPr="008E0451">
                        <w:rPr>
                          <w:color w:val="auto"/>
                          <w:sz w:val="22"/>
                          <w:szCs w:val="22"/>
                          <w:lang w:val="en"/>
                        </w:rPr>
                        <w:t>A fluorescein angiography is a medical procedure in which a fluorescent dye is injected into the bloodstream. The dye highlights the blood vessels in the back of the eye so they can be photographed.</w:t>
                      </w:r>
                    </w:p>
                    <w:p w:rsidR="00D14222" w:rsidRPr="008E0451" w:rsidRDefault="00D14222" w:rsidP="00FC6B70">
                      <w:pPr>
                        <w:pStyle w:val="Default"/>
                        <w:numPr>
                          <w:ilvl w:val="0"/>
                          <w:numId w:val="3"/>
                        </w:numPr>
                        <w:ind w:right="57"/>
                        <w:rPr>
                          <w:sz w:val="22"/>
                          <w:szCs w:val="22"/>
                        </w:rPr>
                      </w:pPr>
                      <w:r w:rsidRPr="008E0451">
                        <w:rPr>
                          <w:b/>
                          <w:sz w:val="22"/>
                          <w:szCs w:val="22"/>
                        </w:rPr>
                        <w:t>Fovea</w:t>
                      </w:r>
                      <w:r w:rsidRPr="008E0451">
                        <w:rPr>
                          <w:sz w:val="22"/>
                          <w:szCs w:val="22"/>
                        </w:rPr>
                        <w:t xml:space="preserve"> - </w:t>
                      </w:r>
                      <w:r w:rsidRPr="008E0451">
                        <w:rPr>
                          <w:sz w:val="22"/>
                          <w:szCs w:val="22"/>
                          <w:lang w:val="en"/>
                        </w:rPr>
                        <w:t xml:space="preserve">a small </w:t>
                      </w:r>
                      <w:r w:rsidR="00A955A9" w:rsidRPr="008E0451">
                        <w:rPr>
                          <w:sz w:val="22"/>
                          <w:szCs w:val="22"/>
                          <w:lang w:val="en"/>
                        </w:rPr>
                        <w:t>thin area of</w:t>
                      </w:r>
                      <w:r w:rsidRPr="008E0451">
                        <w:rPr>
                          <w:sz w:val="22"/>
                          <w:szCs w:val="22"/>
                          <w:lang w:val="en"/>
                        </w:rPr>
                        <w:t xml:space="preserve"> the retina of the eye where visual acuity is highest</w:t>
                      </w:r>
                    </w:p>
                    <w:p w:rsidR="00D14222" w:rsidRPr="008E0451" w:rsidRDefault="00D14222" w:rsidP="00FC6B70">
                      <w:pPr>
                        <w:pStyle w:val="Default"/>
                        <w:numPr>
                          <w:ilvl w:val="0"/>
                          <w:numId w:val="3"/>
                        </w:numPr>
                        <w:ind w:right="57"/>
                        <w:rPr>
                          <w:sz w:val="22"/>
                          <w:szCs w:val="22"/>
                        </w:rPr>
                      </w:pPr>
                      <w:proofErr w:type="spellStart"/>
                      <w:r w:rsidRPr="008E0451">
                        <w:rPr>
                          <w:b/>
                          <w:sz w:val="22"/>
                          <w:szCs w:val="22"/>
                        </w:rPr>
                        <w:t>Disciform</w:t>
                      </w:r>
                      <w:proofErr w:type="spellEnd"/>
                      <w:r w:rsidRPr="008E0451">
                        <w:rPr>
                          <w:b/>
                          <w:sz w:val="22"/>
                          <w:szCs w:val="22"/>
                        </w:rPr>
                        <w:t xml:space="preserve"> scar</w:t>
                      </w:r>
                      <w:r w:rsidRPr="008E0451">
                        <w:rPr>
                          <w:sz w:val="22"/>
                          <w:szCs w:val="22"/>
                        </w:rPr>
                        <w:t xml:space="preserve"> – a round or oval scar underneath the retina usually seen in end-stage AMD that developed as a result of recurrent haemorrhage. </w:t>
                      </w:r>
                    </w:p>
                    <w:p w:rsidR="00C83625" w:rsidRPr="008E0451" w:rsidRDefault="00D14222" w:rsidP="00D14222">
                      <w:pPr>
                        <w:pStyle w:val="BodyText"/>
                        <w:spacing w:line="244" w:lineRule="auto"/>
                        <w:ind w:left="103" w:right="319"/>
                      </w:pPr>
                      <w:r w:rsidRPr="008E0451">
                        <w:rPr>
                          <w:b/>
                        </w:rPr>
                        <w:t>BCVA</w:t>
                      </w:r>
                      <w:r w:rsidRPr="008E0451">
                        <w:t xml:space="preserve"> – This stands for best corrected visual acuity, which is a measurement of the best vision that can be achieved through correction such as glasses.</w:t>
                      </w:r>
                    </w:p>
                  </w:txbxContent>
                </v:textbox>
                <w10:wrap type="topAndBottom" anchorx="page"/>
              </v:shape>
            </w:pict>
          </mc:Fallback>
        </mc:AlternateContent>
      </w:r>
      <w:r>
        <w:rPr>
          <w:b/>
          <w:sz w:val="24"/>
        </w:rPr>
        <w:t>Plain English Summary:</w:t>
      </w:r>
    </w:p>
    <w:p w:rsidR="00D14222" w:rsidRDefault="00D14222">
      <w:pPr>
        <w:pStyle w:val="BodyText"/>
        <w:spacing w:before="6"/>
        <w:rPr>
          <w:b/>
        </w:rPr>
      </w:pPr>
    </w:p>
    <w:p w:rsidR="00D14222" w:rsidRDefault="00D14222">
      <w:pPr>
        <w:pStyle w:val="BodyText"/>
        <w:spacing w:before="6"/>
        <w:rPr>
          <w:b/>
        </w:rPr>
      </w:pPr>
    </w:p>
    <w:p w:rsidR="00C83625" w:rsidRDefault="00A955A9">
      <w:pPr>
        <w:ind w:left="240"/>
        <w:rPr>
          <w:b/>
          <w:sz w:val="24"/>
        </w:rPr>
      </w:pPr>
      <w:r>
        <w:rPr>
          <w:noProof/>
          <w:lang w:bidi="ar-SA"/>
        </w:rPr>
        <mc:AlternateContent>
          <mc:Choice Requires="wps">
            <w:drawing>
              <wp:anchor distT="0" distB="0" distL="0" distR="0" simplePos="0" relativeHeight="251659264" behindDoc="1" locked="0" layoutInCell="1" allowOverlap="1">
                <wp:simplePos x="0" y="0"/>
                <wp:positionH relativeFrom="page">
                  <wp:posOffset>842645</wp:posOffset>
                </wp:positionH>
                <wp:positionV relativeFrom="paragraph">
                  <wp:posOffset>206375</wp:posOffset>
                </wp:positionV>
                <wp:extent cx="5869940" cy="1827530"/>
                <wp:effectExtent l="0" t="0" r="16510" b="2032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827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3625" w:rsidRDefault="00A955A9">
                            <w:pPr>
                              <w:pStyle w:val="BodyText"/>
                              <w:ind w:left="103" w:right="161"/>
                            </w:pPr>
                            <w:r>
                              <w:t xml:space="preserve">NHS Suffolk Public Health Team Low Priority Procedure policy T27: Bevacizumab for retinal vein occlusion, diabetic maculopathy, diabetic retinopathy, </w:t>
                            </w:r>
                            <w:proofErr w:type="spellStart"/>
                            <w:r>
                              <w:t>neovasucular</w:t>
                            </w:r>
                            <w:proofErr w:type="spellEnd"/>
                            <w:r>
                              <w:t xml:space="preserve"> glaucoma or choroidal Neovascularisation.</w:t>
                            </w:r>
                          </w:p>
                          <w:p w:rsidR="00C83625" w:rsidRDefault="00C83625">
                            <w:pPr>
                              <w:pStyle w:val="BodyText"/>
                              <w:spacing w:before="11"/>
                              <w:rPr>
                                <w:b/>
                                <w:sz w:val="21"/>
                              </w:rPr>
                            </w:pPr>
                          </w:p>
                          <w:p w:rsidR="00C83625" w:rsidRDefault="00A955A9">
                            <w:pPr>
                              <w:pStyle w:val="BodyText"/>
                              <w:ind w:left="103" w:right="160"/>
                            </w:pPr>
                            <w:r>
                              <w:t>Cambridgeshire and Peterborough Public Health Network Position Statement: Bevacizumab for the Treatment of Choroidal Neovascularisation (CNV) in Non-Age Related Macular Degeneration (Non-AMD) Conditions.</w:t>
                            </w:r>
                          </w:p>
                          <w:p w:rsidR="00C83625" w:rsidRDefault="00C83625">
                            <w:pPr>
                              <w:pStyle w:val="BodyText"/>
                              <w:spacing w:before="11"/>
                              <w:rPr>
                                <w:b/>
                                <w:sz w:val="21"/>
                              </w:rPr>
                            </w:pPr>
                          </w:p>
                          <w:p w:rsidR="00C83625" w:rsidRDefault="00A955A9">
                            <w:pPr>
                              <w:pStyle w:val="BodyText"/>
                              <w:ind w:left="103" w:right="158"/>
                            </w:pPr>
                            <w:r>
                              <w:t>North East Treatment Advisory Group (NETAG): Bevacizumab (</w:t>
                            </w:r>
                            <w:proofErr w:type="spellStart"/>
                            <w:r>
                              <w:t>Avastin</w:t>
                            </w:r>
                            <w:proofErr w:type="spellEnd"/>
                            <w:r>
                              <w:t xml:space="preserve">®) and </w:t>
                            </w:r>
                            <w:proofErr w:type="spellStart"/>
                            <w:r>
                              <w:t>Ranibizumab</w:t>
                            </w:r>
                            <w:proofErr w:type="spellEnd"/>
                            <w:r>
                              <w:t xml:space="preserve"> (</w:t>
                            </w:r>
                            <w:proofErr w:type="spellStart"/>
                            <w:r>
                              <w:t>Lucentis</w:t>
                            </w:r>
                            <w:proofErr w:type="spellEnd"/>
                            <w:r>
                              <w:t xml:space="preserve">®) in the management of non-AMD choroidal </w:t>
                            </w:r>
                            <w:proofErr w:type="spellStart"/>
                            <w:r>
                              <w:t>neovascular</w:t>
                            </w:r>
                            <w:proofErr w:type="spellEnd"/>
                            <w:r>
                              <w:t xml:space="preserve">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6.35pt;margin-top:16.25pt;width:462.2pt;height:143.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" filled="f" strokeweight=".48pt">
                <v:textbox inset="0,0,0,0">
                  <w:txbxContent>
                    <w:p w:rsidR="00C83625" w:rsidRDefault="00A955A9">
                      <w:pPr>
                        <w:pStyle w:val="BodyText"/>
                        <w:ind w:left="103" w:right="161"/>
                      </w:pPr>
                      <w:r>
                        <w:t xml:space="preserve">NHS Suffolk Public Health Team Low Priority Procedure policy T27: Bevacizumab for retinal vein occlusion, diabetic maculopathy, diabetic retinopathy, </w:t>
                      </w:r>
                      <w:proofErr w:type="spellStart"/>
                      <w:r>
                        <w:t>neovasucular</w:t>
                      </w:r>
                      <w:proofErr w:type="spellEnd"/>
                      <w:r>
                        <w:t xml:space="preserve"> glaucoma or choroidal Neovascularisation.</w:t>
                      </w:r>
                    </w:p>
                    <w:p w:rsidR="00C83625" w:rsidRDefault="00C83625">
                      <w:pPr>
                        <w:pStyle w:val="BodyText"/>
                        <w:spacing w:before="11"/>
                        <w:rPr>
                          <w:b/>
                          <w:sz w:val="21"/>
                        </w:rPr>
                      </w:pPr>
                    </w:p>
                    <w:p w:rsidR="00C83625" w:rsidRDefault="00A955A9">
                      <w:pPr>
                        <w:pStyle w:val="BodyText"/>
                        <w:ind w:left="103" w:right="160"/>
                      </w:pPr>
                      <w:r>
                        <w:t>Cambridgeshire and Peterborough Public Health Network Position Statement: Bevacizumab for the Treatment of Choroidal Neovascularisation (CNV) in Non-Age Related Macular Degeneration (Non-AMD) Conditions.</w:t>
                      </w:r>
                    </w:p>
                    <w:p w:rsidR="00C83625" w:rsidRDefault="00C83625">
                      <w:pPr>
                        <w:pStyle w:val="BodyText"/>
                        <w:spacing w:before="11"/>
                        <w:rPr>
                          <w:b/>
                          <w:sz w:val="21"/>
                        </w:rPr>
                      </w:pPr>
                    </w:p>
                    <w:p w:rsidR="00C83625" w:rsidRDefault="00A955A9">
                      <w:pPr>
                        <w:pStyle w:val="BodyText"/>
                        <w:ind w:left="103" w:right="158"/>
                      </w:pPr>
                      <w:r>
                        <w:t>North East Treatment Advisory Group (NETAG): Bevacizumab (</w:t>
                      </w:r>
                      <w:proofErr w:type="spellStart"/>
                      <w:r>
                        <w:t>Avastin</w:t>
                      </w:r>
                      <w:proofErr w:type="spellEnd"/>
                      <w:r>
                        <w:t xml:space="preserve">®) and </w:t>
                      </w:r>
                      <w:proofErr w:type="spellStart"/>
                      <w:r>
                        <w:t>Ranibizumab</w:t>
                      </w:r>
                      <w:proofErr w:type="spellEnd"/>
                      <w:r>
                        <w:t xml:space="preserve"> (</w:t>
                      </w:r>
                      <w:proofErr w:type="spellStart"/>
                      <w:r>
                        <w:t>Lucentis</w:t>
                      </w:r>
                      <w:proofErr w:type="spellEnd"/>
                      <w:r>
                        <w:t xml:space="preserve">®) in the management of non-AMD choroidal </w:t>
                      </w:r>
                      <w:proofErr w:type="spellStart"/>
                      <w:r>
                        <w:t>neovascular</w:t>
                      </w:r>
                      <w:proofErr w:type="spellEnd"/>
                      <w:r>
                        <w:t xml:space="preserve"> disease.</w:t>
                      </w:r>
                    </w:p>
                  </w:txbxContent>
                </v:textbox>
                <w10:wrap type="topAndBottom" anchorx="page"/>
              </v:shape>
            </w:pict>
          </mc:Fallback>
        </mc:AlternateContent>
      </w:r>
      <w:r>
        <w:rPr>
          <w:b/>
          <w:sz w:val="24"/>
        </w:rPr>
        <w:t>Evidence base:</w:t>
      </w:r>
    </w:p>
    <w:p w:rsidR="00C83625" w:rsidRDefault="002B590C">
      <w:pPr>
        <w:pStyle w:val="BodyText"/>
        <w:spacing w:before="8"/>
        <w:rPr>
          <w:b/>
          <w:sz w:val="23"/>
        </w:rPr>
      </w:pPr>
      <w:r>
        <w:rPr>
          <w:b/>
          <w:noProof/>
          <w:sz w:val="23"/>
          <w:lang w:bidi="ar-SA"/>
        </w:rPr>
        <mc:AlternateContent>
          <mc:Choice Requires="wps">
            <w:drawing>
              <wp:anchor distT="0" distB="0" distL="114300" distR="114300" simplePos="0" relativeHeight="251661312" behindDoc="0" locked="0" layoutInCell="1" allowOverlap="1">
                <wp:simplePos x="0" y="0"/>
                <wp:positionH relativeFrom="column">
                  <wp:posOffset>80838</wp:posOffset>
                </wp:positionH>
                <wp:positionV relativeFrom="paragraph">
                  <wp:posOffset>1859252</wp:posOffset>
                </wp:positionV>
                <wp:extent cx="586994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5869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5pt,146.4pt" to="468.55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" strokecolor="#4579b8 [3044]"/>
            </w:pict>
          </mc:Fallback>
        </mc:AlternateContent>
      </w:r>
    </w:p>
    <w:p w:rsidR="00C83625" w:rsidRDefault="00A955A9">
      <w:pPr>
        <w:ind w:left="240"/>
        <w:rPr>
          <w:sz w:val="24"/>
        </w:rPr>
      </w:pPr>
      <w:r>
        <w:rPr>
          <w:sz w:val="24"/>
        </w:rPr>
        <w:t>Link to application form – Not applicable</w:t>
      </w:r>
    </w:p>
    <w:p w:rsidR="00C83625" w:rsidRDefault="00A955A9">
      <w:pPr>
        <w:spacing w:before="39"/>
        <w:ind w:left="240"/>
        <w:rPr>
          <w:sz w:val="24"/>
        </w:rPr>
      </w:pPr>
      <w:r>
        <w:rPr>
          <w:sz w:val="24"/>
        </w:rPr>
        <w:t xml:space="preserve">For further information please contact </w:t>
      </w:r>
      <w:hyperlink r:id="rId11">
        <w:r>
          <w:rPr>
            <w:color w:val="0000FF"/>
            <w:sz w:val="24"/>
            <w:u w:val="single" w:color="0000FF"/>
          </w:rPr>
          <w:t>GLCCG.IFR@nhs.net</w:t>
        </w:r>
      </w:hyperlink>
    </w:p>
    <w:p w:rsidR="00C83625" w:rsidRDefault="00C83625">
      <w:pPr>
        <w:pStyle w:val="BodyText"/>
        <w:rPr>
          <w:sz w:val="20"/>
        </w:rPr>
      </w:pPr>
    </w:p>
    <w:p w:rsidR="00C83625" w:rsidRDefault="00C83625">
      <w:pPr>
        <w:pStyle w:val="BodyText"/>
        <w:spacing w:before="7"/>
        <w:rPr>
          <w:sz w:val="1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726"/>
      </w:tblGrid>
      <w:tr w:rsidR="00C83625">
        <w:trPr>
          <w:trHeight w:val="253"/>
        </w:trPr>
        <w:tc>
          <w:tcPr>
            <w:tcW w:w="2518" w:type="dxa"/>
          </w:tcPr>
          <w:p w:rsidR="00C83625" w:rsidRDefault="00A955A9">
            <w:pPr>
              <w:pStyle w:val="TableParagraph"/>
              <w:rPr>
                <w:b/>
              </w:rPr>
            </w:pPr>
            <w:r>
              <w:rPr>
                <w:b/>
              </w:rPr>
              <w:t>Date of publication</w:t>
            </w:r>
          </w:p>
        </w:tc>
        <w:tc>
          <w:tcPr>
            <w:tcW w:w="6726" w:type="dxa"/>
          </w:tcPr>
          <w:p w:rsidR="00C83625" w:rsidRDefault="00A955A9">
            <w:pPr>
              <w:pStyle w:val="TableParagraph"/>
            </w:pPr>
            <w:r>
              <w:t>12</w:t>
            </w:r>
            <w:r>
              <w:rPr>
                <w:vertAlign w:val="superscript"/>
              </w:rPr>
              <w:t>th</w:t>
            </w:r>
            <w:r>
              <w:t xml:space="preserve"> October 2015</w:t>
            </w:r>
          </w:p>
        </w:tc>
      </w:tr>
      <w:tr w:rsidR="00C83625">
        <w:trPr>
          <w:trHeight w:val="253"/>
        </w:trPr>
        <w:tc>
          <w:tcPr>
            <w:tcW w:w="2518" w:type="dxa"/>
          </w:tcPr>
          <w:p w:rsidR="00C83625" w:rsidRDefault="00A955A9">
            <w:pPr>
              <w:pStyle w:val="TableParagraph"/>
              <w:rPr>
                <w:b/>
              </w:rPr>
            </w:pPr>
            <w:r>
              <w:rPr>
                <w:b/>
              </w:rPr>
              <w:t>Policy review date</w:t>
            </w:r>
          </w:p>
        </w:tc>
        <w:tc>
          <w:tcPr>
            <w:tcW w:w="6726" w:type="dxa"/>
          </w:tcPr>
          <w:p w:rsidR="00C83625" w:rsidRDefault="00E5032C" w:rsidP="00FC6B70">
            <w:pPr>
              <w:pStyle w:val="TableParagraph"/>
            </w:pPr>
            <w:r>
              <w:t>July 2022</w:t>
            </w:r>
            <w:bookmarkStart w:id="0" w:name="_GoBack"/>
            <w:bookmarkEnd w:id="0"/>
          </w:p>
        </w:tc>
      </w:tr>
    </w:tbl>
    <w:p w:rsidR="00FC6B70" w:rsidRDefault="00FC6B70" w:rsidP="00FC6B70">
      <w:pPr>
        <w:spacing w:before="15" w:after="48"/>
        <w:rPr>
          <w:b/>
          <w:sz w:val="24"/>
        </w:rPr>
      </w:pPr>
    </w:p>
    <w:p w:rsidR="00FC6B70" w:rsidRDefault="00FC6B70" w:rsidP="00FC6B70">
      <w:pPr>
        <w:spacing w:before="15" w:after="48"/>
        <w:rPr>
          <w:b/>
          <w:sz w:val="24"/>
        </w:rPr>
      </w:pPr>
    </w:p>
    <w:p w:rsidR="00FC6B70" w:rsidRDefault="00FC6B70" w:rsidP="00FC6B70">
      <w:pPr>
        <w:spacing w:before="15" w:after="48"/>
        <w:rPr>
          <w:b/>
          <w:sz w:val="24"/>
        </w:rPr>
      </w:pPr>
      <w:r>
        <w:rPr>
          <w:b/>
          <w:sz w:val="24"/>
        </w:rPr>
        <w:t xml:space="preserve">    Consultation</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FC6B70" w:rsidTr="000C4D7D">
        <w:trPr>
          <w:trHeight w:val="251"/>
        </w:trPr>
        <w:tc>
          <w:tcPr>
            <w:tcW w:w="5922" w:type="dxa"/>
          </w:tcPr>
          <w:p w:rsidR="00FC6B70" w:rsidRDefault="00FC6B70" w:rsidP="000C4D7D">
            <w:pPr>
              <w:pStyle w:val="TableParagraph"/>
              <w:spacing w:line="232" w:lineRule="exact"/>
              <w:rPr>
                <w:b/>
              </w:rPr>
            </w:pPr>
            <w:r>
              <w:rPr>
                <w:b/>
              </w:rPr>
              <w:t>Consultee</w:t>
            </w:r>
          </w:p>
        </w:tc>
        <w:tc>
          <w:tcPr>
            <w:tcW w:w="3322" w:type="dxa"/>
          </w:tcPr>
          <w:p w:rsidR="00FC6B70" w:rsidRDefault="00FC6B70" w:rsidP="000C4D7D">
            <w:pPr>
              <w:pStyle w:val="TableParagraph"/>
              <w:spacing w:line="232" w:lineRule="exact"/>
              <w:rPr>
                <w:b/>
              </w:rPr>
            </w:pPr>
            <w:r>
              <w:rPr>
                <w:b/>
              </w:rPr>
              <w:t>Date</w:t>
            </w:r>
          </w:p>
        </w:tc>
      </w:tr>
      <w:tr w:rsidR="00FC6B70" w:rsidTr="000C4D7D">
        <w:trPr>
          <w:trHeight w:val="254"/>
        </w:trPr>
        <w:tc>
          <w:tcPr>
            <w:tcW w:w="5922" w:type="dxa"/>
          </w:tcPr>
          <w:p w:rsidR="00FC6B70" w:rsidRDefault="00FC6B70" w:rsidP="00FC6B70">
            <w:pPr>
              <w:pStyle w:val="TableParagraph"/>
              <w:ind w:left="57"/>
            </w:pPr>
            <w:r>
              <w:t>Eye Health Clinical Programme Group</w:t>
            </w:r>
          </w:p>
        </w:tc>
        <w:tc>
          <w:tcPr>
            <w:tcW w:w="3322" w:type="dxa"/>
          </w:tcPr>
          <w:p w:rsidR="00FC6B70" w:rsidRDefault="00FC6B70" w:rsidP="00FC6B70">
            <w:pPr>
              <w:pStyle w:val="TableParagraph"/>
              <w:ind w:left="57"/>
            </w:pPr>
            <w:r>
              <w:t>20</w:t>
            </w:r>
            <w:r>
              <w:rPr>
                <w:vertAlign w:val="superscript"/>
              </w:rPr>
              <w:t>th</w:t>
            </w:r>
            <w:r>
              <w:t xml:space="preserve"> June 2015</w:t>
            </w:r>
          </w:p>
        </w:tc>
      </w:tr>
      <w:tr w:rsidR="00FC6B70" w:rsidTr="000C4D7D">
        <w:trPr>
          <w:trHeight w:val="251"/>
        </w:trPr>
        <w:tc>
          <w:tcPr>
            <w:tcW w:w="5922" w:type="dxa"/>
          </w:tcPr>
          <w:p w:rsidR="00FC6B70" w:rsidRDefault="00FC6B70" w:rsidP="00FC6B70">
            <w:pPr>
              <w:pStyle w:val="TableParagraph"/>
              <w:spacing w:line="232" w:lineRule="exact"/>
              <w:ind w:left="57"/>
            </w:pPr>
            <w:r>
              <w:t>GHNHSFT (via CPG)</w:t>
            </w:r>
          </w:p>
        </w:tc>
        <w:tc>
          <w:tcPr>
            <w:tcW w:w="3322" w:type="dxa"/>
          </w:tcPr>
          <w:p w:rsidR="00FC6B70" w:rsidRDefault="00FC6B70" w:rsidP="00FC6B70">
            <w:pPr>
              <w:pStyle w:val="TableParagraph"/>
              <w:spacing w:line="232" w:lineRule="exact"/>
              <w:ind w:left="57"/>
            </w:pPr>
            <w:r>
              <w:t>20</w:t>
            </w:r>
            <w:r>
              <w:rPr>
                <w:vertAlign w:val="superscript"/>
              </w:rPr>
              <w:t>th</w:t>
            </w:r>
            <w:r>
              <w:t xml:space="preserve"> June 2015</w:t>
            </w:r>
          </w:p>
        </w:tc>
      </w:tr>
      <w:tr w:rsidR="00FC6B70" w:rsidTr="000C4D7D">
        <w:trPr>
          <w:trHeight w:val="254"/>
        </w:trPr>
        <w:tc>
          <w:tcPr>
            <w:tcW w:w="5922" w:type="dxa"/>
          </w:tcPr>
          <w:p w:rsidR="00FC6B70" w:rsidRDefault="00FC6B70" w:rsidP="00FC6B70">
            <w:pPr>
              <w:pStyle w:val="TableParagraph"/>
              <w:ind w:left="57"/>
            </w:pPr>
            <w:r>
              <w:t>GP Membership (via CCG Live/What’s New This Week)</w:t>
            </w:r>
          </w:p>
        </w:tc>
        <w:tc>
          <w:tcPr>
            <w:tcW w:w="3322" w:type="dxa"/>
          </w:tcPr>
          <w:p w:rsidR="00FC6B70" w:rsidRDefault="00FC6B70" w:rsidP="00FC6B70">
            <w:pPr>
              <w:pStyle w:val="TableParagraph"/>
              <w:ind w:left="57"/>
            </w:pPr>
            <w:r>
              <w:t>10</w:t>
            </w:r>
            <w:r>
              <w:rPr>
                <w:vertAlign w:val="superscript"/>
              </w:rPr>
              <w:t>th</w:t>
            </w:r>
            <w:r>
              <w:t xml:space="preserve"> July – 7</w:t>
            </w:r>
            <w:r>
              <w:rPr>
                <w:vertAlign w:val="superscript"/>
              </w:rPr>
              <w:t>th</w:t>
            </w:r>
            <w:r>
              <w:t xml:space="preserve"> August 2015</w:t>
            </w:r>
          </w:p>
        </w:tc>
      </w:tr>
      <w:tr w:rsidR="00FC6B70" w:rsidTr="000C4D7D">
        <w:trPr>
          <w:trHeight w:val="253"/>
        </w:trPr>
        <w:tc>
          <w:tcPr>
            <w:tcW w:w="5922" w:type="dxa"/>
            <w:shd w:val="clear" w:color="auto" w:fill="C4BA94"/>
          </w:tcPr>
          <w:p w:rsidR="00FC6B70" w:rsidRDefault="00FC6B70" w:rsidP="00FC6B70">
            <w:pPr>
              <w:pStyle w:val="TableParagraph"/>
              <w:spacing w:line="240" w:lineRule="auto"/>
              <w:ind w:left="57"/>
              <w:rPr>
                <w:rFonts w:ascii="Times New Roman"/>
                <w:sz w:val="18"/>
              </w:rPr>
            </w:pPr>
          </w:p>
        </w:tc>
        <w:tc>
          <w:tcPr>
            <w:tcW w:w="3322" w:type="dxa"/>
            <w:shd w:val="clear" w:color="auto" w:fill="C4BA94"/>
          </w:tcPr>
          <w:p w:rsidR="00FC6B70" w:rsidRDefault="00FC6B70" w:rsidP="00FC6B70">
            <w:pPr>
              <w:pStyle w:val="TableParagraph"/>
              <w:spacing w:line="240" w:lineRule="auto"/>
              <w:ind w:left="57"/>
              <w:rPr>
                <w:rFonts w:ascii="Times New Roman"/>
                <w:sz w:val="18"/>
              </w:rPr>
            </w:pPr>
          </w:p>
        </w:tc>
      </w:tr>
      <w:tr w:rsidR="00FC6B70" w:rsidTr="000C4D7D">
        <w:trPr>
          <w:trHeight w:val="506"/>
        </w:trPr>
        <w:tc>
          <w:tcPr>
            <w:tcW w:w="5922" w:type="dxa"/>
          </w:tcPr>
          <w:p w:rsidR="00FC6B70" w:rsidRDefault="00FC6B70" w:rsidP="00FC6B70">
            <w:pPr>
              <w:pStyle w:val="TableParagraph"/>
              <w:spacing w:line="246" w:lineRule="exact"/>
              <w:ind w:left="57"/>
            </w:pPr>
            <w:r>
              <w:t>Has the consultation included patient representatives?</w:t>
            </w:r>
          </w:p>
        </w:tc>
        <w:tc>
          <w:tcPr>
            <w:tcW w:w="3322" w:type="dxa"/>
          </w:tcPr>
          <w:p w:rsidR="00FC6B70" w:rsidRDefault="00FC6B70" w:rsidP="00FC6B70">
            <w:pPr>
              <w:pStyle w:val="TableParagraph"/>
              <w:spacing w:line="248" w:lineRule="exact"/>
              <w:ind w:left="57"/>
            </w:pPr>
            <w:r>
              <w:t>Yes (via CPG and ECCP</w:t>
            </w:r>
          </w:p>
          <w:p w:rsidR="00FC6B70" w:rsidRDefault="00FC6B70" w:rsidP="00FC6B70">
            <w:pPr>
              <w:pStyle w:val="TableParagraph"/>
              <w:spacing w:before="1" w:line="237" w:lineRule="exact"/>
              <w:ind w:left="57"/>
            </w:pPr>
            <w:r>
              <w:t>membership)</w:t>
            </w:r>
          </w:p>
        </w:tc>
      </w:tr>
    </w:tbl>
    <w:p w:rsidR="00FC6B70" w:rsidRDefault="00FC6B70" w:rsidP="00FC6B70">
      <w:pPr>
        <w:pStyle w:val="BodyText"/>
        <w:spacing w:before="11"/>
        <w:ind w:left="57"/>
        <w:rPr>
          <w:b/>
          <w:sz w:val="26"/>
        </w:rPr>
      </w:pPr>
    </w:p>
    <w:p w:rsidR="00FC6B70" w:rsidRDefault="00FC6B70" w:rsidP="00FC6B70">
      <w:pPr>
        <w:spacing w:after="48"/>
        <w:ind w:left="57"/>
        <w:rPr>
          <w:b/>
          <w:sz w:val="24"/>
        </w:rPr>
      </w:pPr>
      <w:r>
        <w:rPr>
          <w:b/>
          <w:sz w:val="24"/>
        </w:rPr>
        <w:t xml:space="preserve">  Policy sign</w:t>
      </w:r>
      <w:r>
        <w:rPr>
          <w:b/>
          <w:spacing w:val="-4"/>
          <w:sz w:val="24"/>
        </w:rPr>
        <w:t xml:space="preserve"> </w:t>
      </w:r>
      <w:r>
        <w:rPr>
          <w:b/>
          <w:sz w:val="24"/>
        </w:rPr>
        <w:t>off</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FC6B70" w:rsidTr="000C4D7D">
        <w:trPr>
          <w:trHeight w:val="254"/>
        </w:trPr>
        <w:tc>
          <w:tcPr>
            <w:tcW w:w="5922" w:type="dxa"/>
          </w:tcPr>
          <w:p w:rsidR="00FC6B70" w:rsidRDefault="00FC6B70" w:rsidP="00FC6B70">
            <w:pPr>
              <w:pStyle w:val="TableParagraph"/>
              <w:ind w:left="57"/>
              <w:rPr>
                <w:b/>
              </w:rPr>
            </w:pPr>
            <w:r>
              <w:rPr>
                <w:b/>
              </w:rPr>
              <w:t>Reviewing Body</w:t>
            </w:r>
          </w:p>
        </w:tc>
        <w:tc>
          <w:tcPr>
            <w:tcW w:w="3322" w:type="dxa"/>
          </w:tcPr>
          <w:p w:rsidR="00FC6B70" w:rsidRDefault="00FC6B70" w:rsidP="00FC6B70">
            <w:pPr>
              <w:pStyle w:val="TableParagraph"/>
              <w:ind w:left="57"/>
              <w:rPr>
                <w:b/>
              </w:rPr>
            </w:pPr>
            <w:r>
              <w:rPr>
                <w:b/>
              </w:rPr>
              <w:t>Date of review</w:t>
            </w:r>
          </w:p>
        </w:tc>
      </w:tr>
      <w:tr w:rsidR="00FC6B70" w:rsidTr="000C4D7D">
        <w:trPr>
          <w:trHeight w:val="251"/>
        </w:trPr>
        <w:tc>
          <w:tcPr>
            <w:tcW w:w="5922" w:type="dxa"/>
          </w:tcPr>
          <w:p w:rsidR="00FC6B70" w:rsidRDefault="00FC6B70" w:rsidP="00FC6B70">
            <w:pPr>
              <w:pStyle w:val="TableParagraph"/>
              <w:spacing w:line="232" w:lineRule="exact"/>
              <w:ind w:left="57"/>
            </w:pPr>
            <w:r>
              <w:t>Effective Clinical Commissioning Policy Group</w:t>
            </w:r>
          </w:p>
        </w:tc>
        <w:tc>
          <w:tcPr>
            <w:tcW w:w="3322" w:type="dxa"/>
          </w:tcPr>
          <w:p w:rsidR="00FC6B70" w:rsidRDefault="00FC6B70" w:rsidP="00FC6B70">
            <w:pPr>
              <w:pStyle w:val="TableParagraph"/>
              <w:spacing w:line="232" w:lineRule="exact"/>
              <w:ind w:left="57"/>
            </w:pPr>
            <w:r>
              <w:t>3</w:t>
            </w:r>
            <w:r>
              <w:rPr>
                <w:vertAlign w:val="superscript"/>
              </w:rPr>
              <w:t>rd</w:t>
            </w:r>
            <w:r>
              <w:t xml:space="preserve"> August 2015</w:t>
            </w:r>
          </w:p>
        </w:tc>
      </w:tr>
      <w:tr w:rsidR="00FC6B70" w:rsidTr="000C4D7D">
        <w:trPr>
          <w:trHeight w:val="254"/>
        </w:trPr>
        <w:tc>
          <w:tcPr>
            <w:tcW w:w="5922" w:type="dxa"/>
          </w:tcPr>
          <w:p w:rsidR="00FC6B70" w:rsidRDefault="00FC6B70" w:rsidP="00FC6B70">
            <w:pPr>
              <w:pStyle w:val="TableParagraph"/>
              <w:ind w:left="57"/>
            </w:pPr>
            <w:r>
              <w:t>Integrated Governance and Quality Committee</w:t>
            </w:r>
          </w:p>
        </w:tc>
        <w:tc>
          <w:tcPr>
            <w:tcW w:w="3322" w:type="dxa"/>
          </w:tcPr>
          <w:p w:rsidR="00FC6B70" w:rsidRDefault="00FC6B70" w:rsidP="00FC6B70">
            <w:pPr>
              <w:pStyle w:val="TableParagraph"/>
              <w:ind w:left="57"/>
            </w:pPr>
            <w:r>
              <w:t>20</w:t>
            </w:r>
            <w:r>
              <w:rPr>
                <w:vertAlign w:val="superscript"/>
              </w:rPr>
              <w:t>th</w:t>
            </w:r>
            <w:r>
              <w:t xml:space="preserve"> August 2015</w:t>
            </w:r>
          </w:p>
        </w:tc>
      </w:tr>
    </w:tbl>
    <w:p w:rsidR="00FC6B70" w:rsidRDefault="00FC6B70" w:rsidP="00FC6B70">
      <w:pPr>
        <w:pStyle w:val="BodyText"/>
        <w:spacing w:before="6"/>
        <w:rPr>
          <w:b/>
          <w:sz w:val="21"/>
        </w:rPr>
      </w:pPr>
    </w:p>
    <w:p w:rsidR="00FC6B70" w:rsidRDefault="00FC6B70" w:rsidP="00FC6B70">
      <w:pPr>
        <w:pStyle w:val="Heading2"/>
        <w:spacing w:after="7"/>
        <w:ind w:left="221"/>
        <w:rPr>
          <w:rFonts w:ascii="Arial"/>
        </w:rPr>
      </w:pPr>
      <w:r>
        <w:rPr>
          <w:rFonts w:ascii="Arial"/>
        </w:rPr>
        <w:t>Version</w:t>
      </w:r>
      <w:r>
        <w:rPr>
          <w:rFonts w:ascii="Arial"/>
          <w:spacing w:val="-5"/>
        </w:rPr>
        <w:t xml:space="preserve"> </w:t>
      </w:r>
      <w:r>
        <w:rPr>
          <w:rFonts w:ascii="Arial"/>
        </w:rPr>
        <w:t>Control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269"/>
        <w:gridCol w:w="709"/>
        <w:gridCol w:w="4537"/>
      </w:tblGrid>
      <w:tr w:rsidR="00FC6B70" w:rsidTr="000C4D7D">
        <w:trPr>
          <w:trHeight w:val="290"/>
        </w:trPr>
        <w:tc>
          <w:tcPr>
            <w:tcW w:w="1702" w:type="dxa"/>
          </w:tcPr>
          <w:p w:rsidR="00FC6B70" w:rsidRDefault="00FC6B70" w:rsidP="000C4D7D">
            <w:pPr>
              <w:pStyle w:val="TableParagraph"/>
              <w:spacing w:line="248" w:lineRule="exact"/>
              <w:rPr>
                <w:b/>
              </w:rPr>
            </w:pPr>
            <w:r>
              <w:rPr>
                <w:b/>
              </w:rPr>
              <w:t>Version No</w:t>
            </w:r>
          </w:p>
        </w:tc>
        <w:tc>
          <w:tcPr>
            <w:tcW w:w="2269" w:type="dxa"/>
          </w:tcPr>
          <w:p w:rsidR="00FC6B70" w:rsidRDefault="00FC6B70" w:rsidP="000C4D7D">
            <w:pPr>
              <w:pStyle w:val="TableParagraph"/>
              <w:spacing w:line="248" w:lineRule="exact"/>
              <w:rPr>
                <w:b/>
              </w:rPr>
            </w:pPr>
            <w:r>
              <w:rPr>
                <w:b/>
              </w:rPr>
              <w:t>Type of Change</w:t>
            </w:r>
          </w:p>
        </w:tc>
        <w:tc>
          <w:tcPr>
            <w:tcW w:w="709" w:type="dxa"/>
          </w:tcPr>
          <w:p w:rsidR="00FC6B70" w:rsidRDefault="00FC6B70" w:rsidP="000C4D7D">
            <w:pPr>
              <w:pStyle w:val="TableParagraph"/>
              <w:spacing w:line="248" w:lineRule="exact"/>
              <w:ind w:left="106"/>
              <w:rPr>
                <w:b/>
              </w:rPr>
            </w:pPr>
            <w:r>
              <w:rPr>
                <w:b/>
              </w:rPr>
              <w:t>Date</w:t>
            </w:r>
          </w:p>
        </w:tc>
        <w:tc>
          <w:tcPr>
            <w:tcW w:w="4537" w:type="dxa"/>
          </w:tcPr>
          <w:p w:rsidR="00FC6B70" w:rsidRDefault="00FC6B70" w:rsidP="000C4D7D">
            <w:pPr>
              <w:pStyle w:val="TableParagraph"/>
              <w:spacing w:line="248" w:lineRule="exact"/>
              <w:ind w:left="106"/>
              <w:rPr>
                <w:b/>
              </w:rPr>
            </w:pPr>
            <w:r>
              <w:rPr>
                <w:b/>
              </w:rPr>
              <w:t>Description of Change</w:t>
            </w:r>
          </w:p>
        </w:tc>
      </w:tr>
      <w:tr w:rsidR="00FC6B70" w:rsidTr="000C4D7D">
        <w:trPr>
          <w:trHeight w:val="318"/>
        </w:trPr>
        <w:tc>
          <w:tcPr>
            <w:tcW w:w="1702" w:type="dxa"/>
          </w:tcPr>
          <w:p w:rsidR="00FC6B70" w:rsidRDefault="00FC6B70" w:rsidP="00FC6B70">
            <w:pPr>
              <w:pStyle w:val="TableParagraph"/>
              <w:spacing w:before="82" w:line="216" w:lineRule="exact"/>
              <w:ind w:left="170"/>
            </w:pPr>
            <w:r>
              <w:t>1</w:t>
            </w:r>
          </w:p>
        </w:tc>
        <w:tc>
          <w:tcPr>
            <w:tcW w:w="2269" w:type="dxa"/>
          </w:tcPr>
          <w:p w:rsidR="00FC6B70" w:rsidRDefault="00FC6B70" w:rsidP="000C4D7D">
            <w:pPr>
              <w:pStyle w:val="TableParagraph"/>
              <w:spacing w:line="240" w:lineRule="auto"/>
              <w:ind w:left="0"/>
              <w:rPr>
                <w:rFonts w:ascii="Times New Roman"/>
              </w:rPr>
            </w:pPr>
          </w:p>
        </w:tc>
        <w:tc>
          <w:tcPr>
            <w:tcW w:w="709" w:type="dxa"/>
          </w:tcPr>
          <w:p w:rsidR="00FC6B70" w:rsidRDefault="00FC6B70" w:rsidP="000C4D7D">
            <w:pPr>
              <w:pStyle w:val="TableParagraph"/>
              <w:spacing w:line="240" w:lineRule="auto"/>
              <w:ind w:left="0"/>
              <w:rPr>
                <w:rFonts w:ascii="Times New Roman"/>
              </w:rPr>
            </w:pPr>
          </w:p>
        </w:tc>
        <w:tc>
          <w:tcPr>
            <w:tcW w:w="4537" w:type="dxa"/>
          </w:tcPr>
          <w:p w:rsidR="00FC6B70" w:rsidRDefault="00FC6B70" w:rsidP="00FC6B70">
            <w:pPr>
              <w:pStyle w:val="TableParagraph"/>
              <w:spacing w:before="50" w:line="249" w:lineRule="exact"/>
              <w:ind w:left="113"/>
            </w:pPr>
            <w:r>
              <w:t>Published 12.10.15</w:t>
            </w:r>
          </w:p>
        </w:tc>
      </w:tr>
      <w:tr w:rsidR="00FC6B70" w:rsidTr="000C4D7D">
        <w:trPr>
          <w:trHeight w:val="316"/>
        </w:trPr>
        <w:tc>
          <w:tcPr>
            <w:tcW w:w="1702" w:type="dxa"/>
          </w:tcPr>
          <w:p w:rsidR="00FC6B70" w:rsidRDefault="00FC6B70" w:rsidP="00FC6B70">
            <w:pPr>
              <w:pStyle w:val="TableParagraph"/>
              <w:spacing w:before="50" w:line="246" w:lineRule="exact"/>
              <w:ind w:left="170"/>
            </w:pPr>
            <w:r>
              <w:t>2</w:t>
            </w:r>
          </w:p>
        </w:tc>
        <w:tc>
          <w:tcPr>
            <w:tcW w:w="2269" w:type="dxa"/>
          </w:tcPr>
          <w:p w:rsidR="00FC6B70" w:rsidRDefault="00FC6B70" w:rsidP="00FC6B70">
            <w:pPr>
              <w:pStyle w:val="TableParagraph"/>
              <w:spacing w:before="99" w:line="197" w:lineRule="exact"/>
              <w:ind w:left="57"/>
            </w:pPr>
            <w:r>
              <w:t>Date change</w:t>
            </w:r>
          </w:p>
        </w:tc>
        <w:tc>
          <w:tcPr>
            <w:tcW w:w="709" w:type="dxa"/>
          </w:tcPr>
          <w:p w:rsidR="00FC6B70" w:rsidRDefault="00FC6B70" w:rsidP="00FC6B70">
            <w:pPr>
              <w:pStyle w:val="TableParagraph"/>
              <w:spacing w:before="34" w:line="240" w:lineRule="auto"/>
              <w:ind w:left="57"/>
            </w:pPr>
            <w:r>
              <w:t>6.18</w:t>
            </w:r>
          </w:p>
        </w:tc>
        <w:tc>
          <w:tcPr>
            <w:tcW w:w="4537" w:type="dxa"/>
          </w:tcPr>
          <w:p w:rsidR="00FC6B70" w:rsidRDefault="00FC6B70" w:rsidP="00FC6B70">
            <w:pPr>
              <w:pStyle w:val="TableParagraph"/>
              <w:spacing w:before="83" w:line="213" w:lineRule="exact"/>
              <w:ind w:left="113"/>
            </w:pPr>
            <w:r>
              <w:t>Policy review date changed to June 2019</w:t>
            </w:r>
          </w:p>
        </w:tc>
      </w:tr>
      <w:tr w:rsidR="00FC6B70" w:rsidTr="000C4D7D">
        <w:trPr>
          <w:trHeight w:val="318"/>
        </w:trPr>
        <w:tc>
          <w:tcPr>
            <w:tcW w:w="1702" w:type="dxa"/>
          </w:tcPr>
          <w:p w:rsidR="00FC6B70" w:rsidRDefault="00FC6B70" w:rsidP="00FC6B70">
            <w:pPr>
              <w:pStyle w:val="TableParagraph"/>
              <w:spacing w:before="44" w:line="240" w:lineRule="auto"/>
              <w:ind w:left="170"/>
            </w:pPr>
            <w:r>
              <w:t>3</w:t>
            </w:r>
          </w:p>
        </w:tc>
        <w:tc>
          <w:tcPr>
            <w:tcW w:w="2269" w:type="dxa"/>
          </w:tcPr>
          <w:p w:rsidR="00FC6B70" w:rsidRDefault="00FC6B70" w:rsidP="00FC6B70">
            <w:pPr>
              <w:pStyle w:val="TableParagraph"/>
              <w:spacing w:before="3" w:line="240" w:lineRule="auto"/>
              <w:ind w:left="57"/>
            </w:pPr>
            <w:r>
              <w:t>Date change</w:t>
            </w:r>
          </w:p>
        </w:tc>
        <w:tc>
          <w:tcPr>
            <w:tcW w:w="709" w:type="dxa"/>
          </w:tcPr>
          <w:p w:rsidR="00FC6B70" w:rsidRDefault="00FC6B70" w:rsidP="00FC6B70">
            <w:pPr>
              <w:pStyle w:val="TableParagraph"/>
              <w:spacing w:before="3" w:line="240" w:lineRule="auto"/>
              <w:ind w:left="57"/>
            </w:pPr>
            <w:r>
              <w:t>9.19</w:t>
            </w:r>
          </w:p>
        </w:tc>
        <w:tc>
          <w:tcPr>
            <w:tcW w:w="4537" w:type="dxa"/>
          </w:tcPr>
          <w:p w:rsidR="00FC6B70" w:rsidRDefault="00FC6B70" w:rsidP="00FC6B70">
            <w:pPr>
              <w:pStyle w:val="TableParagraph"/>
              <w:spacing w:before="86" w:line="213" w:lineRule="exact"/>
              <w:ind w:left="113" w:right="-15"/>
            </w:pPr>
            <w:r>
              <w:t>Policy review date changed to September</w:t>
            </w:r>
            <w:r>
              <w:rPr>
                <w:spacing w:val="9"/>
              </w:rPr>
              <w:t xml:space="preserve"> </w:t>
            </w:r>
            <w:r>
              <w:t>20</w:t>
            </w:r>
          </w:p>
        </w:tc>
      </w:tr>
      <w:tr w:rsidR="00FC6B70" w:rsidTr="000C4D7D">
        <w:trPr>
          <w:trHeight w:val="318"/>
        </w:trPr>
        <w:tc>
          <w:tcPr>
            <w:tcW w:w="1702" w:type="dxa"/>
          </w:tcPr>
          <w:p w:rsidR="00FC6B70" w:rsidRDefault="00FC6B70" w:rsidP="00FC6B70">
            <w:pPr>
              <w:pStyle w:val="TableParagraph"/>
              <w:spacing w:before="44" w:line="240" w:lineRule="auto"/>
              <w:ind w:left="170"/>
            </w:pPr>
            <w:r>
              <w:t>4</w:t>
            </w:r>
          </w:p>
        </w:tc>
        <w:tc>
          <w:tcPr>
            <w:tcW w:w="2269" w:type="dxa"/>
          </w:tcPr>
          <w:p w:rsidR="00FC6B70" w:rsidRDefault="00FC6B70" w:rsidP="00FC6B70">
            <w:pPr>
              <w:pStyle w:val="TableParagraph"/>
              <w:spacing w:before="3" w:line="240" w:lineRule="auto"/>
              <w:ind w:left="57"/>
            </w:pPr>
            <w:r>
              <w:t>Date &amp; wording</w:t>
            </w:r>
          </w:p>
        </w:tc>
        <w:tc>
          <w:tcPr>
            <w:tcW w:w="709" w:type="dxa"/>
          </w:tcPr>
          <w:p w:rsidR="00FC6B70" w:rsidRDefault="00FC6B70" w:rsidP="00FC6B70">
            <w:pPr>
              <w:pStyle w:val="TableParagraph"/>
              <w:spacing w:before="3" w:line="240" w:lineRule="auto"/>
              <w:ind w:left="57"/>
            </w:pPr>
            <w:r>
              <w:t>6.20</w:t>
            </w:r>
          </w:p>
        </w:tc>
        <w:tc>
          <w:tcPr>
            <w:tcW w:w="4537" w:type="dxa"/>
          </w:tcPr>
          <w:p w:rsidR="00FC6B70" w:rsidRDefault="00FC6B70" w:rsidP="00E5032C">
            <w:pPr>
              <w:pStyle w:val="TableParagraph"/>
              <w:spacing w:before="86" w:line="213" w:lineRule="exact"/>
              <w:ind w:left="113" w:right="-15"/>
            </w:pPr>
            <w:r>
              <w:t xml:space="preserve">Policy review date changed to </w:t>
            </w:r>
            <w:r w:rsidR="00E5032C">
              <w:t>July 2022</w:t>
            </w:r>
            <w:r>
              <w:t xml:space="preserve"> and Plain English Summary updated.</w:t>
            </w:r>
          </w:p>
        </w:tc>
      </w:tr>
    </w:tbl>
    <w:p w:rsidR="00157C3D" w:rsidRDefault="00157C3D" w:rsidP="002B590C">
      <w:pPr>
        <w:spacing w:before="15" w:after="48"/>
      </w:pPr>
    </w:p>
    <w:sectPr w:rsidR="00157C3D">
      <w:headerReference w:type="default" r:id="rId12"/>
      <w:pgSz w:w="11920" w:h="16850"/>
      <w:pgMar w:top="1700" w:right="1220" w:bottom="1180" w:left="1200" w:header="278"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3D" w:rsidRDefault="00A955A9">
      <w:r>
        <w:separator/>
      </w:r>
    </w:p>
  </w:endnote>
  <w:endnote w:type="continuationSeparator" w:id="0">
    <w:p w:rsidR="00157C3D" w:rsidRDefault="00A9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5" w:rsidRPr="00FC6B70" w:rsidRDefault="00FC6B70" w:rsidP="00FC6B70">
    <w:pPr>
      <w:pStyle w:val="Footer"/>
    </w:pPr>
    <w:r>
      <w:tab/>
    </w:r>
    <w:r>
      <w:tab/>
      <w:t>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3D" w:rsidRDefault="00A955A9">
      <w:r>
        <w:separator/>
      </w:r>
    </w:p>
  </w:footnote>
  <w:footnote w:type="continuationSeparator" w:id="0">
    <w:p w:rsidR="00157C3D" w:rsidRDefault="00A9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5" w:rsidRDefault="00A955A9">
    <w:pPr>
      <w:pStyle w:val="BodyText"/>
      <w:spacing w:line="14" w:lineRule="auto"/>
      <w:rPr>
        <w:sz w:val="20"/>
      </w:rPr>
    </w:pPr>
    <w:r>
      <w:rPr>
        <w:noProof/>
        <w:lang w:bidi="ar-SA"/>
      </w:rPr>
      <mc:AlternateContent>
        <mc:Choice Requires="wps">
          <w:drawing>
            <wp:anchor distT="0" distB="0" distL="114300" distR="114300" simplePos="0" relativeHeight="503308712" behindDoc="1" locked="0" layoutInCell="1" allowOverlap="1" wp14:anchorId="22D0551C" wp14:editId="2D5DD350">
              <wp:simplePos x="0" y="0"/>
              <wp:positionH relativeFrom="page">
                <wp:posOffset>276225</wp:posOffset>
              </wp:positionH>
              <wp:positionV relativeFrom="page">
                <wp:posOffset>181610</wp:posOffset>
              </wp:positionV>
              <wp:extent cx="2638425" cy="904875"/>
              <wp:effectExtent l="9525" t="10160" r="9525" b="88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75pt;margin-top:14.3pt;width:207.75pt;height:71.25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" filled="f">
              <w10:wrap anchorx="page" anchory="page"/>
            </v:rect>
          </w:pict>
        </mc:Fallback>
      </mc:AlternateContent>
    </w:r>
    <w:r>
      <w:rPr>
        <w:noProof/>
        <w:lang w:bidi="ar-SA"/>
      </w:rPr>
      <mc:AlternateContent>
        <mc:Choice Requires="wps">
          <w:drawing>
            <wp:anchor distT="0" distB="0" distL="114300" distR="114300" simplePos="0" relativeHeight="503308736" behindDoc="1" locked="0" layoutInCell="1" allowOverlap="1" wp14:anchorId="03806A20" wp14:editId="7073FABB">
              <wp:simplePos x="0" y="0"/>
              <wp:positionH relativeFrom="page">
                <wp:posOffset>359410</wp:posOffset>
              </wp:positionH>
              <wp:positionV relativeFrom="page">
                <wp:posOffset>252730</wp:posOffset>
              </wp:positionV>
              <wp:extent cx="1930400" cy="743585"/>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625" w:rsidRDefault="00A955A9">
                          <w:pPr>
                            <w:spacing w:line="245" w:lineRule="exact"/>
                            <w:ind w:left="20"/>
                            <w:rPr>
                              <w:rFonts w:ascii="Calibri"/>
                              <w:b/>
                            </w:rPr>
                          </w:pPr>
                          <w:r>
                            <w:rPr>
                              <w:rFonts w:ascii="Calibri"/>
                              <w:b/>
                            </w:rPr>
                            <w:t>Policy Category:</w:t>
                          </w:r>
                        </w:p>
                        <w:p w:rsidR="00C83625" w:rsidRDefault="00A955A9">
                          <w:pPr>
                            <w:spacing w:before="26"/>
                            <w:ind w:left="20"/>
                            <w:rPr>
                              <w:rFonts w:ascii="Calibri"/>
                              <w:b/>
                            </w:rPr>
                          </w:pPr>
                          <w:r>
                            <w:rPr>
                              <w:rFonts w:ascii="Calibri"/>
                              <w:b/>
                              <w:color w:val="FF0000"/>
                            </w:rPr>
                            <w:t>CBA</w:t>
                          </w:r>
                        </w:p>
                        <w:p w:rsidR="00C83625" w:rsidRDefault="00A955A9">
                          <w:pPr>
                            <w:spacing w:before="39" w:line="273" w:lineRule="auto"/>
                            <w:ind w:left="20" w:right="1"/>
                            <w:rPr>
                              <w:rFonts w:ascii="Calibri"/>
                              <w:b/>
                            </w:rPr>
                          </w:pPr>
                          <w:r>
                            <w:rPr>
                              <w:rFonts w:ascii="Calibri"/>
                              <w:b/>
                            </w:rPr>
                            <w:t xml:space="preserve">Who usually applies for funding? </w:t>
                          </w: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3pt;margin-top:19.9pt;width:152pt;height:58.55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RrgIAAKk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" filled="f" stroked="f">
              <v:textbox inset="0,0,0,0">
                <w:txbxContent>
                  <w:p w:rsidR="00C83625" w:rsidRDefault="00A955A9">
                    <w:pPr>
                      <w:spacing w:line="245" w:lineRule="exact"/>
                      <w:ind w:left="20"/>
                      <w:rPr>
                        <w:rFonts w:ascii="Calibri"/>
                        <w:b/>
                      </w:rPr>
                    </w:pPr>
                    <w:r>
                      <w:rPr>
                        <w:rFonts w:ascii="Calibri"/>
                        <w:b/>
                      </w:rPr>
                      <w:t>Policy Category:</w:t>
                    </w:r>
                  </w:p>
                  <w:p w:rsidR="00C83625" w:rsidRDefault="00A955A9">
                    <w:pPr>
                      <w:spacing w:before="26"/>
                      <w:ind w:left="20"/>
                      <w:rPr>
                        <w:rFonts w:ascii="Calibri"/>
                        <w:b/>
                      </w:rPr>
                    </w:pPr>
                    <w:r>
                      <w:rPr>
                        <w:rFonts w:ascii="Calibri"/>
                        <w:b/>
                        <w:color w:val="FF0000"/>
                      </w:rPr>
                      <w:t>CBA</w:t>
                    </w:r>
                  </w:p>
                  <w:p w:rsidR="00C83625" w:rsidRDefault="00A955A9">
                    <w:pPr>
                      <w:spacing w:before="39" w:line="273" w:lineRule="auto"/>
                      <w:ind w:left="20" w:right="1"/>
                      <w:rPr>
                        <w:rFonts w:ascii="Calibri"/>
                        <w:b/>
                      </w:rPr>
                    </w:pPr>
                    <w:r>
                      <w:rPr>
                        <w:rFonts w:ascii="Calibri"/>
                        <w:b/>
                      </w:rPr>
                      <w:t xml:space="preserve">Who usually applies for funding? </w:t>
                    </w:r>
                    <w:r>
                      <w:rPr>
                        <w:rFonts w:ascii="Calibri"/>
                        <w:b/>
                        <w:color w:val="FF0000"/>
                      </w:rPr>
                      <w:t>Not applicable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5" w:rsidRDefault="008E0451">
    <w:pPr>
      <w:pStyle w:val="BodyText"/>
      <w:spacing w:line="14" w:lineRule="auto"/>
      <w:rPr>
        <w:sz w:val="20"/>
      </w:rPr>
    </w:pPr>
    <w:r>
      <w:rPr>
        <w:noProof/>
        <w:lang w:bidi="ar-SA"/>
      </w:rPr>
      <w:drawing>
        <wp:anchor distT="0" distB="0" distL="0" distR="0" simplePos="0" relativeHeight="503310880" behindDoc="0" locked="0" layoutInCell="1" allowOverlap="1" wp14:anchorId="089D3135" wp14:editId="11756F43">
          <wp:simplePos x="0" y="0"/>
          <wp:positionH relativeFrom="page">
            <wp:posOffset>4602618</wp:posOffset>
          </wp:positionH>
          <wp:positionV relativeFrom="page">
            <wp:posOffset>182107</wp:posOffset>
          </wp:positionV>
          <wp:extent cx="2560269" cy="664147"/>
          <wp:effectExtent l="0" t="0" r="0" b="3175"/>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60269" cy="664147"/>
                  </a:xfrm>
                  <a:prstGeom prst="rect">
                    <a:avLst/>
                  </a:prstGeom>
                </pic:spPr>
              </pic:pic>
            </a:graphicData>
          </a:graphic>
        </wp:anchor>
      </w:drawing>
    </w:r>
    <w:r w:rsidR="00A955A9">
      <w:rPr>
        <w:noProof/>
        <w:lang w:bidi="ar-SA"/>
      </w:rPr>
      <mc:AlternateContent>
        <mc:Choice Requires="wps">
          <w:drawing>
            <wp:anchor distT="0" distB="0" distL="114300" distR="114300" simplePos="0" relativeHeight="503308808" behindDoc="1" locked="0" layoutInCell="1" allowOverlap="1" wp14:anchorId="509265A5" wp14:editId="1B523E90">
              <wp:simplePos x="0" y="0"/>
              <wp:positionH relativeFrom="page">
                <wp:posOffset>276225</wp:posOffset>
              </wp:positionH>
              <wp:positionV relativeFrom="page">
                <wp:posOffset>181610</wp:posOffset>
              </wp:positionV>
              <wp:extent cx="2638425" cy="904875"/>
              <wp:effectExtent l="9525" t="10160" r="952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04875"/>
                      </a:xfrm>
                      <a:custGeom>
                        <a:avLst/>
                        <a:gdLst>
                          <a:gd name="T0" fmla="+- 0 435 435"/>
                          <a:gd name="T1" fmla="*/ T0 w 4155"/>
                          <a:gd name="T2" fmla="+- 0 1711 286"/>
                          <a:gd name="T3" fmla="*/ 1711 h 1425"/>
                          <a:gd name="T4" fmla="+- 0 4590 435"/>
                          <a:gd name="T5" fmla="*/ T4 w 4155"/>
                          <a:gd name="T6" fmla="+- 0 1711 286"/>
                          <a:gd name="T7" fmla="*/ 1711 h 1425"/>
                          <a:gd name="T8" fmla="+- 0 4590 435"/>
                          <a:gd name="T9" fmla="*/ T8 w 4155"/>
                          <a:gd name="T10" fmla="+- 0 286 286"/>
                          <a:gd name="T11" fmla="*/ 286 h 1425"/>
                          <a:gd name="T12" fmla="+- 0 435 435"/>
                          <a:gd name="T13" fmla="*/ T12 w 4155"/>
                          <a:gd name="T14" fmla="+- 0 286 286"/>
                          <a:gd name="T15" fmla="*/ 286 h 1425"/>
                          <a:gd name="T16" fmla="+- 0 435 435"/>
                          <a:gd name="T17" fmla="*/ T16 w 4155"/>
                          <a:gd name="T18" fmla="+- 0 1711 286"/>
                          <a:gd name="T19" fmla="*/ 1711 h 1425"/>
                          <a:gd name="T20" fmla="+- 0 435 435"/>
                          <a:gd name="T21" fmla="*/ T20 w 4155"/>
                          <a:gd name="T22" fmla="+- 0 1711 286"/>
                          <a:gd name="T23" fmla="*/ 1711 h 1425"/>
                          <a:gd name="T24" fmla="+- 0 4590 435"/>
                          <a:gd name="T25" fmla="*/ T24 w 4155"/>
                          <a:gd name="T26" fmla="+- 0 1711 286"/>
                          <a:gd name="T27" fmla="*/ 1711 h 1425"/>
                          <a:gd name="T28" fmla="+- 0 4590 435"/>
                          <a:gd name="T29" fmla="*/ T28 w 4155"/>
                          <a:gd name="T30" fmla="+- 0 286 286"/>
                          <a:gd name="T31" fmla="*/ 286 h 1425"/>
                          <a:gd name="T32" fmla="+- 0 435 435"/>
                          <a:gd name="T33" fmla="*/ T32 w 4155"/>
                          <a:gd name="T34" fmla="+- 0 286 286"/>
                          <a:gd name="T35" fmla="*/ 286 h 1425"/>
                          <a:gd name="T36" fmla="+- 0 435 435"/>
                          <a:gd name="T37" fmla="*/ T36 w 4155"/>
                          <a:gd name="T38" fmla="+- 0 1711 286"/>
                          <a:gd name="T39" fmla="*/ 1711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55" h="1425">
                            <a:moveTo>
                              <a:pt x="0" y="1425"/>
                            </a:moveTo>
                            <a:lnTo>
                              <a:pt x="4155" y="1425"/>
                            </a:lnTo>
                            <a:lnTo>
                              <a:pt x="4155" y="0"/>
                            </a:lnTo>
                            <a:lnTo>
                              <a:pt x="0" y="0"/>
                            </a:lnTo>
                            <a:lnTo>
                              <a:pt x="0" y="1425"/>
                            </a:lnTo>
                            <a:close/>
                            <a:moveTo>
                              <a:pt x="0" y="1425"/>
                            </a:moveTo>
                            <a:lnTo>
                              <a:pt x="4155" y="1425"/>
                            </a:lnTo>
                            <a:lnTo>
                              <a:pt x="4155" y="0"/>
                            </a:lnTo>
                            <a:lnTo>
                              <a:pt x="0" y="0"/>
                            </a:lnTo>
                            <a:lnTo>
                              <a:pt x="0" y="142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1.75pt;margin-top:14.3pt;width:207.75pt;height:71.25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" path="m,1425r4155,l4155,,,,,1425xm,1425r4155,l4155,,,,,1425xe" filled="f">
              <v:path arrowok="t" o:connecttype="custom" o:connectlocs="0,1086485;2638425,1086485;2638425,181610;0,181610;0,1086485;0,1086485;2638425,1086485;2638425,181610;0,181610;0,1086485" o:connectangles="0,0,0,0,0,0,0,0,0,0"/>
              <w10:wrap anchorx="page" anchory="page"/>
            </v:shape>
          </w:pict>
        </mc:Fallback>
      </mc:AlternateContent>
    </w:r>
    <w:r w:rsidR="00A955A9">
      <w:rPr>
        <w:noProof/>
        <w:lang w:bidi="ar-SA"/>
      </w:rPr>
      <mc:AlternateContent>
        <mc:Choice Requires="wps">
          <w:drawing>
            <wp:anchor distT="0" distB="0" distL="114300" distR="114300" simplePos="0" relativeHeight="503308832" behindDoc="1" locked="0" layoutInCell="1" allowOverlap="1" wp14:anchorId="3D36E910" wp14:editId="7E97E0FA">
              <wp:simplePos x="0" y="0"/>
              <wp:positionH relativeFrom="page">
                <wp:posOffset>359410</wp:posOffset>
              </wp:positionH>
              <wp:positionV relativeFrom="page">
                <wp:posOffset>252730</wp:posOffset>
              </wp:positionV>
              <wp:extent cx="1930400" cy="74358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625" w:rsidRDefault="00A955A9">
                          <w:pPr>
                            <w:spacing w:line="245" w:lineRule="exact"/>
                            <w:ind w:left="20"/>
                            <w:rPr>
                              <w:rFonts w:ascii="Calibri"/>
                              <w:b/>
                            </w:rPr>
                          </w:pPr>
                          <w:r>
                            <w:rPr>
                              <w:rFonts w:ascii="Calibri"/>
                              <w:b/>
                            </w:rPr>
                            <w:t>Policy Category:</w:t>
                          </w:r>
                        </w:p>
                        <w:p w:rsidR="00C83625" w:rsidRDefault="00A955A9">
                          <w:pPr>
                            <w:spacing w:before="26"/>
                            <w:ind w:left="20"/>
                            <w:rPr>
                              <w:rFonts w:ascii="Calibri"/>
                              <w:b/>
                            </w:rPr>
                          </w:pPr>
                          <w:r>
                            <w:rPr>
                              <w:rFonts w:ascii="Calibri"/>
                              <w:b/>
                              <w:color w:val="FF0000"/>
                            </w:rPr>
                            <w:t>CBA</w:t>
                          </w:r>
                        </w:p>
                        <w:p w:rsidR="00C83625" w:rsidRDefault="00A955A9">
                          <w:pPr>
                            <w:spacing w:before="39" w:line="273" w:lineRule="auto"/>
                            <w:ind w:left="20" w:right="1"/>
                            <w:rPr>
                              <w:rFonts w:ascii="Calibri"/>
                              <w:b/>
                            </w:rPr>
                          </w:pPr>
                          <w:r>
                            <w:rPr>
                              <w:rFonts w:ascii="Calibri"/>
                              <w:b/>
                            </w:rPr>
                            <w:t xml:space="preserve">Who usually applies for funding? </w:t>
                          </w: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3pt;margin-top:19.9pt;width:152pt;height:58.5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V1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" filled="f" stroked="f">
              <v:textbox inset="0,0,0,0">
                <w:txbxContent>
                  <w:p w:rsidR="00C83625" w:rsidRDefault="00A955A9">
                    <w:pPr>
                      <w:spacing w:line="245" w:lineRule="exact"/>
                      <w:ind w:left="20"/>
                      <w:rPr>
                        <w:rFonts w:ascii="Calibri"/>
                        <w:b/>
                      </w:rPr>
                    </w:pPr>
                    <w:r>
                      <w:rPr>
                        <w:rFonts w:ascii="Calibri"/>
                        <w:b/>
                      </w:rPr>
                      <w:t>Policy Category:</w:t>
                    </w:r>
                  </w:p>
                  <w:p w:rsidR="00C83625" w:rsidRDefault="00A955A9">
                    <w:pPr>
                      <w:spacing w:before="26"/>
                      <w:ind w:left="20"/>
                      <w:rPr>
                        <w:rFonts w:ascii="Calibri"/>
                        <w:b/>
                      </w:rPr>
                    </w:pPr>
                    <w:r>
                      <w:rPr>
                        <w:rFonts w:ascii="Calibri"/>
                        <w:b/>
                        <w:color w:val="FF0000"/>
                      </w:rPr>
                      <w:t>CBA</w:t>
                    </w:r>
                  </w:p>
                  <w:p w:rsidR="00C83625" w:rsidRDefault="00A955A9">
                    <w:pPr>
                      <w:spacing w:before="39" w:line="273" w:lineRule="auto"/>
                      <w:ind w:left="20" w:right="1"/>
                      <w:rPr>
                        <w:rFonts w:ascii="Calibri"/>
                        <w:b/>
                      </w:rPr>
                    </w:pPr>
                    <w:r>
                      <w:rPr>
                        <w:rFonts w:ascii="Calibri"/>
                        <w:b/>
                      </w:rPr>
                      <w:t xml:space="preserve">Who usually applies for funding? </w:t>
                    </w:r>
                    <w:r>
                      <w:rPr>
                        <w:rFonts w:ascii="Calibri"/>
                        <w:b/>
                        <w:color w:val="FF0000"/>
                      </w:rPr>
                      <w:t>Not applicable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327"/>
    <w:multiLevelType w:val="hybridMultilevel"/>
    <w:tmpl w:val="4094D7EE"/>
    <w:lvl w:ilvl="0" w:tplc="4D80A69A">
      <w:start w:val="1"/>
      <w:numFmt w:val="decimal"/>
      <w:lvlText w:val="%1)"/>
      <w:lvlJc w:val="left"/>
      <w:pPr>
        <w:ind w:left="240" w:hanging="260"/>
      </w:pPr>
      <w:rPr>
        <w:rFonts w:ascii="Arial" w:eastAsia="Arial" w:hAnsi="Arial" w:cs="Arial" w:hint="default"/>
        <w:spacing w:val="-1"/>
        <w:w w:val="100"/>
        <w:sz w:val="22"/>
        <w:szCs w:val="22"/>
        <w:lang w:val="en-GB" w:eastAsia="en-GB" w:bidi="en-GB"/>
      </w:rPr>
    </w:lvl>
    <w:lvl w:ilvl="1" w:tplc="135024E2">
      <w:numFmt w:val="bullet"/>
      <w:lvlText w:val=""/>
      <w:lvlJc w:val="left"/>
      <w:pPr>
        <w:ind w:left="960" w:hanging="360"/>
      </w:pPr>
      <w:rPr>
        <w:rFonts w:ascii="Symbol" w:eastAsia="Symbol" w:hAnsi="Symbol" w:cs="Symbol" w:hint="default"/>
        <w:w w:val="100"/>
        <w:sz w:val="22"/>
        <w:szCs w:val="22"/>
        <w:lang w:val="en-GB" w:eastAsia="en-GB" w:bidi="en-GB"/>
      </w:rPr>
    </w:lvl>
    <w:lvl w:ilvl="2" w:tplc="3AD0B710">
      <w:numFmt w:val="bullet"/>
      <w:lvlText w:val="•"/>
      <w:lvlJc w:val="left"/>
      <w:pPr>
        <w:ind w:left="960" w:hanging="360"/>
      </w:pPr>
      <w:rPr>
        <w:rFonts w:hint="default"/>
        <w:lang w:val="en-GB" w:eastAsia="en-GB" w:bidi="en-GB"/>
      </w:rPr>
    </w:lvl>
    <w:lvl w:ilvl="3" w:tplc="6F325152">
      <w:numFmt w:val="bullet"/>
      <w:lvlText w:val="•"/>
      <w:lvlJc w:val="left"/>
      <w:pPr>
        <w:ind w:left="2026" w:hanging="360"/>
      </w:pPr>
      <w:rPr>
        <w:rFonts w:hint="default"/>
        <w:lang w:val="en-GB" w:eastAsia="en-GB" w:bidi="en-GB"/>
      </w:rPr>
    </w:lvl>
    <w:lvl w:ilvl="4" w:tplc="05D06020">
      <w:numFmt w:val="bullet"/>
      <w:lvlText w:val="•"/>
      <w:lvlJc w:val="left"/>
      <w:pPr>
        <w:ind w:left="3092" w:hanging="360"/>
      </w:pPr>
      <w:rPr>
        <w:rFonts w:hint="default"/>
        <w:lang w:val="en-GB" w:eastAsia="en-GB" w:bidi="en-GB"/>
      </w:rPr>
    </w:lvl>
    <w:lvl w:ilvl="5" w:tplc="0B2A8918">
      <w:numFmt w:val="bullet"/>
      <w:lvlText w:val="•"/>
      <w:lvlJc w:val="left"/>
      <w:pPr>
        <w:ind w:left="4159" w:hanging="360"/>
      </w:pPr>
      <w:rPr>
        <w:rFonts w:hint="default"/>
        <w:lang w:val="en-GB" w:eastAsia="en-GB" w:bidi="en-GB"/>
      </w:rPr>
    </w:lvl>
    <w:lvl w:ilvl="6" w:tplc="0336A390">
      <w:numFmt w:val="bullet"/>
      <w:lvlText w:val="•"/>
      <w:lvlJc w:val="left"/>
      <w:pPr>
        <w:ind w:left="5225" w:hanging="360"/>
      </w:pPr>
      <w:rPr>
        <w:rFonts w:hint="default"/>
        <w:lang w:val="en-GB" w:eastAsia="en-GB" w:bidi="en-GB"/>
      </w:rPr>
    </w:lvl>
    <w:lvl w:ilvl="7" w:tplc="71403F48">
      <w:numFmt w:val="bullet"/>
      <w:lvlText w:val="•"/>
      <w:lvlJc w:val="left"/>
      <w:pPr>
        <w:ind w:left="6292" w:hanging="360"/>
      </w:pPr>
      <w:rPr>
        <w:rFonts w:hint="default"/>
        <w:lang w:val="en-GB" w:eastAsia="en-GB" w:bidi="en-GB"/>
      </w:rPr>
    </w:lvl>
    <w:lvl w:ilvl="8" w:tplc="31108DAA">
      <w:numFmt w:val="bullet"/>
      <w:lvlText w:val="•"/>
      <w:lvlJc w:val="left"/>
      <w:pPr>
        <w:ind w:left="7358" w:hanging="360"/>
      </w:pPr>
      <w:rPr>
        <w:rFonts w:hint="default"/>
        <w:lang w:val="en-GB" w:eastAsia="en-GB" w:bidi="en-GB"/>
      </w:rPr>
    </w:lvl>
  </w:abstractNum>
  <w:abstractNum w:abstractNumId="1">
    <w:nsid w:val="41E52EB3"/>
    <w:multiLevelType w:val="hybridMultilevel"/>
    <w:tmpl w:val="8A4E596C"/>
    <w:lvl w:ilvl="0" w:tplc="006EE182">
      <w:numFmt w:val="bullet"/>
      <w:lvlText w:val=""/>
      <w:lvlJc w:val="left"/>
      <w:pPr>
        <w:ind w:left="823" w:hanging="360"/>
      </w:pPr>
      <w:rPr>
        <w:rFonts w:ascii="Symbol" w:eastAsia="Symbol" w:hAnsi="Symbol" w:cs="Symbol" w:hint="default"/>
        <w:w w:val="100"/>
        <w:sz w:val="22"/>
        <w:szCs w:val="22"/>
        <w:lang w:val="en-GB" w:eastAsia="en-GB" w:bidi="en-GB"/>
      </w:rPr>
    </w:lvl>
    <w:lvl w:ilvl="1" w:tplc="F7AE7B7C">
      <w:numFmt w:val="bullet"/>
      <w:lvlText w:val="•"/>
      <w:lvlJc w:val="left"/>
      <w:pPr>
        <w:ind w:left="1661" w:hanging="360"/>
      </w:pPr>
      <w:rPr>
        <w:rFonts w:hint="default"/>
        <w:lang w:val="en-GB" w:eastAsia="en-GB" w:bidi="en-GB"/>
      </w:rPr>
    </w:lvl>
    <w:lvl w:ilvl="2" w:tplc="BE625E70">
      <w:numFmt w:val="bullet"/>
      <w:lvlText w:val="•"/>
      <w:lvlJc w:val="left"/>
      <w:pPr>
        <w:ind w:left="2502" w:hanging="360"/>
      </w:pPr>
      <w:rPr>
        <w:rFonts w:hint="default"/>
        <w:lang w:val="en-GB" w:eastAsia="en-GB" w:bidi="en-GB"/>
      </w:rPr>
    </w:lvl>
    <w:lvl w:ilvl="3" w:tplc="4672F414">
      <w:numFmt w:val="bullet"/>
      <w:lvlText w:val="•"/>
      <w:lvlJc w:val="left"/>
      <w:pPr>
        <w:ind w:left="3344" w:hanging="360"/>
      </w:pPr>
      <w:rPr>
        <w:rFonts w:hint="default"/>
        <w:lang w:val="en-GB" w:eastAsia="en-GB" w:bidi="en-GB"/>
      </w:rPr>
    </w:lvl>
    <w:lvl w:ilvl="4" w:tplc="5C5CC9E4">
      <w:numFmt w:val="bullet"/>
      <w:lvlText w:val="•"/>
      <w:lvlJc w:val="left"/>
      <w:pPr>
        <w:ind w:left="4185" w:hanging="360"/>
      </w:pPr>
      <w:rPr>
        <w:rFonts w:hint="default"/>
        <w:lang w:val="en-GB" w:eastAsia="en-GB" w:bidi="en-GB"/>
      </w:rPr>
    </w:lvl>
    <w:lvl w:ilvl="5" w:tplc="D7380376">
      <w:numFmt w:val="bullet"/>
      <w:lvlText w:val="•"/>
      <w:lvlJc w:val="left"/>
      <w:pPr>
        <w:ind w:left="5027" w:hanging="360"/>
      </w:pPr>
      <w:rPr>
        <w:rFonts w:hint="default"/>
        <w:lang w:val="en-GB" w:eastAsia="en-GB" w:bidi="en-GB"/>
      </w:rPr>
    </w:lvl>
    <w:lvl w:ilvl="6" w:tplc="01B4C1CC">
      <w:numFmt w:val="bullet"/>
      <w:lvlText w:val="•"/>
      <w:lvlJc w:val="left"/>
      <w:pPr>
        <w:ind w:left="5868" w:hanging="360"/>
      </w:pPr>
      <w:rPr>
        <w:rFonts w:hint="default"/>
        <w:lang w:val="en-GB" w:eastAsia="en-GB" w:bidi="en-GB"/>
      </w:rPr>
    </w:lvl>
    <w:lvl w:ilvl="7" w:tplc="34784216">
      <w:numFmt w:val="bullet"/>
      <w:lvlText w:val="•"/>
      <w:lvlJc w:val="left"/>
      <w:pPr>
        <w:ind w:left="6709" w:hanging="360"/>
      </w:pPr>
      <w:rPr>
        <w:rFonts w:hint="default"/>
        <w:lang w:val="en-GB" w:eastAsia="en-GB" w:bidi="en-GB"/>
      </w:rPr>
    </w:lvl>
    <w:lvl w:ilvl="8" w:tplc="CC0A4B40">
      <w:numFmt w:val="bullet"/>
      <w:lvlText w:val="•"/>
      <w:lvlJc w:val="left"/>
      <w:pPr>
        <w:ind w:left="7551" w:hanging="360"/>
      </w:pPr>
      <w:rPr>
        <w:rFonts w:hint="default"/>
        <w:lang w:val="en-GB" w:eastAsia="en-GB" w:bidi="en-GB"/>
      </w:rPr>
    </w:lvl>
  </w:abstractNum>
  <w:abstractNum w:abstractNumId="2">
    <w:nsid w:val="6D9134F1"/>
    <w:multiLevelType w:val="hybridMultilevel"/>
    <w:tmpl w:val="6630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o:colormenu v:ext="edit" strokecolor="none [3213]"/>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5"/>
    <w:rsid w:val="00157C3D"/>
    <w:rsid w:val="002B590C"/>
    <w:rsid w:val="008E0451"/>
    <w:rsid w:val="00A955A9"/>
    <w:rsid w:val="00C83625"/>
    <w:rsid w:val="00D14222"/>
    <w:rsid w:val="00E5032C"/>
    <w:rsid w:val="00FC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
      <w:ind w:left="960" w:hanging="360"/>
    </w:pPr>
  </w:style>
  <w:style w:type="paragraph" w:customStyle="1" w:styleId="TableParagraph">
    <w:name w:val="Table Paragraph"/>
    <w:basedOn w:val="Normal"/>
    <w:uiPriority w:val="1"/>
    <w:qFormat/>
    <w:pPr>
      <w:spacing w:line="234" w:lineRule="exact"/>
      <w:ind w:left="107"/>
    </w:pPr>
  </w:style>
  <w:style w:type="table" w:styleId="TableGrid">
    <w:name w:val="Table Grid"/>
    <w:basedOn w:val="TableNormal"/>
    <w:uiPriority w:val="59"/>
    <w:rsid w:val="00D1422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222"/>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D14222"/>
    <w:pPr>
      <w:tabs>
        <w:tab w:val="center" w:pos="4513"/>
        <w:tab w:val="right" w:pos="9026"/>
      </w:tabs>
    </w:pPr>
  </w:style>
  <w:style w:type="character" w:customStyle="1" w:styleId="HeaderChar">
    <w:name w:val="Header Char"/>
    <w:basedOn w:val="DefaultParagraphFont"/>
    <w:link w:val="Header"/>
    <w:uiPriority w:val="99"/>
    <w:rsid w:val="00D14222"/>
    <w:rPr>
      <w:rFonts w:ascii="Arial" w:eastAsia="Arial" w:hAnsi="Arial" w:cs="Arial"/>
      <w:lang w:val="en-GB" w:eastAsia="en-GB" w:bidi="en-GB"/>
    </w:rPr>
  </w:style>
  <w:style w:type="paragraph" w:styleId="Footer">
    <w:name w:val="footer"/>
    <w:basedOn w:val="Normal"/>
    <w:link w:val="FooterChar"/>
    <w:uiPriority w:val="99"/>
    <w:unhideWhenUsed/>
    <w:rsid w:val="00D14222"/>
    <w:pPr>
      <w:tabs>
        <w:tab w:val="center" w:pos="4513"/>
        <w:tab w:val="right" w:pos="9026"/>
      </w:tabs>
    </w:pPr>
  </w:style>
  <w:style w:type="character" w:customStyle="1" w:styleId="FooterChar">
    <w:name w:val="Footer Char"/>
    <w:basedOn w:val="DefaultParagraphFont"/>
    <w:link w:val="Footer"/>
    <w:uiPriority w:val="99"/>
    <w:rsid w:val="00D14222"/>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
      <w:ind w:left="960" w:hanging="360"/>
    </w:pPr>
  </w:style>
  <w:style w:type="paragraph" w:customStyle="1" w:styleId="TableParagraph">
    <w:name w:val="Table Paragraph"/>
    <w:basedOn w:val="Normal"/>
    <w:uiPriority w:val="1"/>
    <w:qFormat/>
    <w:pPr>
      <w:spacing w:line="234" w:lineRule="exact"/>
      <w:ind w:left="107"/>
    </w:pPr>
  </w:style>
  <w:style w:type="table" w:styleId="TableGrid">
    <w:name w:val="Table Grid"/>
    <w:basedOn w:val="TableNormal"/>
    <w:uiPriority w:val="59"/>
    <w:rsid w:val="00D1422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222"/>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D14222"/>
    <w:pPr>
      <w:tabs>
        <w:tab w:val="center" w:pos="4513"/>
        <w:tab w:val="right" w:pos="9026"/>
      </w:tabs>
    </w:pPr>
  </w:style>
  <w:style w:type="character" w:customStyle="1" w:styleId="HeaderChar">
    <w:name w:val="Header Char"/>
    <w:basedOn w:val="DefaultParagraphFont"/>
    <w:link w:val="Header"/>
    <w:uiPriority w:val="99"/>
    <w:rsid w:val="00D14222"/>
    <w:rPr>
      <w:rFonts w:ascii="Arial" w:eastAsia="Arial" w:hAnsi="Arial" w:cs="Arial"/>
      <w:lang w:val="en-GB" w:eastAsia="en-GB" w:bidi="en-GB"/>
    </w:rPr>
  </w:style>
  <w:style w:type="paragraph" w:styleId="Footer">
    <w:name w:val="footer"/>
    <w:basedOn w:val="Normal"/>
    <w:link w:val="FooterChar"/>
    <w:uiPriority w:val="99"/>
    <w:unhideWhenUsed/>
    <w:rsid w:val="00D14222"/>
    <w:pPr>
      <w:tabs>
        <w:tab w:val="center" w:pos="4513"/>
        <w:tab w:val="right" w:pos="9026"/>
      </w:tabs>
    </w:pPr>
  </w:style>
  <w:style w:type="character" w:customStyle="1" w:styleId="FooterChar">
    <w:name w:val="Footer Char"/>
    <w:basedOn w:val="DefaultParagraphFont"/>
    <w:link w:val="Footer"/>
    <w:uiPriority w:val="99"/>
    <w:rsid w:val="00D1422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CCG.IFR@nhs.ne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3</cp:revision>
  <dcterms:created xsi:type="dcterms:W3CDTF">2020-07-29T07:25:00Z</dcterms:created>
  <dcterms:modified xsi:type="dcterms:W3CDTF">2020-08-19T09:42:00Z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2020-07-28T00:00:00Z</vt:filetime>
  </property>
</Properties>
</file>