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C4" w:rsidRDefault="00BE7C62">
      <w:pPr>
        <w:pStyle w:val="BodyText"/>
        <w:spacing w:before="4"/>
        <w:rPr>
          <w:rFonts w:ascii="Times New Roman"/>
          <w:sz w:val="10"/>
        </w:rPr>
      </w:pPr>
      <w:r>
        <w:rPr>
          <w:noProof/>
          <w:lang w:bidi="ar-SA"/>
        </w:rPr>
        <w:drawing>
          <wp:anchor distT="0" distB="0" distL="0" distR="0" simplePos="0" relativeHeight="251655680" behindDoc="0" locked="0" layoutInCell="1" allowOverlap="1">
            <wp:simplePos x="0" y="0"/>
            <wp:positionH relativeFrom="page">
              <wp:posOffset>4739085</wp:posOffset>
            </wp:positionH>
            <wp:positionV relativeFrom="page">
              <wp:posOffset>265025</wp:posOffset>
            </wp:positionV>
            <wp:extent cx="2584315" cy="6700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84315" cy="670060"/>
                    </a:xfrm>
                    <a:prstGeom prst="rect">
                      <a:avLst/>
                    </a:prstGeom>
                  </pic:spPr>
                </pic:pic>
              </a:graphicData>
            </a:graphic>
          </wp:anchor>
        </w:drawing>
      </w:r>
    </w:p>
    <w:p w:rsidR="00FE6AC4" w:rsidRDefault="00BE7C62">
      <w:pPr>
        <w:pStyle w:val="Heading1"/>
        <w:spacing w:before="92"/>
        <w:ind w:left="965"/>
      </w:pPr>
      <w:r>
        <w:t xml:space="preserve">Bevacizumab for iris </w:t>
      </w:r>
      <w:proofErr w:type="spellStart"/>
      <w:r>
        <w:t>rubeosis</w:t>
      </w:r>
      <w:proofErr w:type="spellEnd"/>
      <w:r>
        <w:t xml:space="preserve"> and </w:t>
      </w:r>
      <w:proofErr w:type="spellStart"/>
      <w:r>
        <w:t>rubeotic</w:t>
      </w:r>
      <w:proofErr w:type="spellEnd"/>
      <w:r>
        <w:t>/</w:t>
      </w:r>
      <w:proofErr w:type="spellStart"/>
      <w:r>
        <w:t>neovascular</w:t>
      </w:r>
      <w:proofErr w:type="spellEnd"/>
      <w:r>
        <w:t xml:space="preserve"> glaucoma</w:t>
      </w:r>
    </w:p>
    <w:p w:rsidR="00FE6AC4" w:rsidRDefault="00FE6AC4">
      <w:pPr>
        <w:pStyle w:val="BodyText"/>
        <w:rPr>
          <w:b/>
          <w:sz w:val="20"/>
        </w:rPr>
      </w:pPr>
    </w:p>
    <w:p w:rsidR="00FE6AC4" w:rsidRDefault="00FE6AC4">
      <w:pPr>
        <w:pStyle w:val="BodyText"/>
        <w:spacing w:before="8"/>
        <w:rPr>
          <w:b/>
          <w:sz w:val="11"/>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7151"/>
      </w:tblGrid>
      <w:tr w:rsidR="00FE6AC4">
        <w:trPr>
          <w:trHeight w:val="760"/>
        </w:trPr>
        <w:tc>
          <w:tcPr>
            <w:tcW w:w="2093" w:type="dxa"/>
            <w:shd w:val="clear" w:color="auto" w:fill="D9D9D9"/>
          </w:tcPr>
          <w:p w:rsidR="00FE6AC4" w:rsidRDefault="00BE7C62">
            <w:pPr>
              <w:pStyle w:val="TableParagraph"/>
              <w:spacing w:line="240" w:lineRule="auto"/>
              <w:ind w:right="155"/>
              <w:rPr>
                <w:b/>
                <w:sz w:val="24"/>
              </w:rPr>
            </w:pPr>
            <w:r>
              <w:rPr>
                <w:b/>
                <w:sz w:val="24"/>
              </w:rPr>
              <w:t>Commissioning decision</w:t>
            </w:r>
          </w:p>
        </w:tc>
        <w:tc>
          <w:tcPr>
            <w:tcW w:w="7151" w:type="dxa"/>
          </w:tcPr>
          <w:p w:rsidR="00FE6AC4" w:rsidRDefault="00BE7C62">
            <w:pPr>
              <w:pStyle w:val="TableParagraph"/>
              <w:spacing w:line="248" w:lineRule="exact"/>
              <w:rPr>
                <w:b/>
              </w:rPr>
            </w:pPr>
            <w:r>
              <w:rPr>
                <w:b/>
              </w:rPr>
              <w:t xml:space="preserve">The CCG will provide funding for Bevacizumab for iris </w:t>
            </w:r>
            <w:proofErr w:type="spellStart"/>
            <w:r>
              <w:rPr>
                <w:b/>
              </w:rPr>
              <w:t>rubeosis</w:t>
            </w:r>
            <w:proofErr w:type="spellEnd"/>
          </w:p>
          <w:p w:rsidR="00FE6AC4" w:rsidRDefault="00BE7C62">
            <w:pPr>
              <w:pStyle w:val="TableParagraph"/>
              <w:spacing w:before="6" w:line="252" w:lineRule="exact"/>
              <w:ind w:right="534"/>
              <w:rPr>
                <w:b/>
              </w:rPr>
            </w:pPr>
            <w:proofErr w:type="gramStart"/>
            <w:r>
              <w:rPr>
                <w:b/>
              </w:rPr>
              <w:t>and</w:t>
            </w:r>
            <w:proofErr w:type="gramEnd"/>
            <w:r>
              <w:rPr>
                <w:b/>
              </w:rPr>
              <w:t xml:space="preserve"> </w:t>
            </w:r>
            <w:proofErr w:type="spellStart"/>
            <w:r>
              <w:rPr>
                <w:b/>
              </w:rPr>
              <w:t>rubeotic</w:t>
            </w:r>
            <w:proofErr w:type="spellEnd"/>
            <w:r>
              <w:rPr>
                <w:b/>
              </w:rPr>
              <w:t>/</w:t>
            </w:r>
            <w:proofErr w:type="spellStart"/>
            <w:r>
              <w:rPr>
                <w:b/>
              </w:rPr>
              <w:t>neovascular</w:t>
            </w:r>
            <w:proofErr w:type="spellEnd"/>
            <w:r>
              <w:rPr>
                <w:b/>
              </w:rPr>
              <w:t xml:space="preserve"> glaucoma for patients who meet the criteria defined within this policy.</w:t>
            </w:r>
          </w:p>
        </w:tc>
      </w:tr>
    </w:tbl>
    <w:p w:rsidR="00FE6AC4" w:rsidRDefault="00FE6AC4">
      <w:pPr>
        <w:pStyle w:val="BodyText"/>
        <w:spacing w:before="11"/>
        <w:rPr>
          <w:b/>
          <w:sz w:val="26"/>
        </w:rPr>
      </w:pPr>
    </w:p>
    <w:p w:rsidR="00FE6AC4" w:rsidRDefault="00BE7C62">
      <w:pPr>
        <w:ind w:left="240"/>
        <w:rPr>
          <w:b/>
          <w:sz w:val="24"/>
        </w:rPr>
      </w:pPr>
      <w:r>
        <w:rPr>
          <w:noProof/>
          <w:lang w:bidi="ar-SA"/>
        </w:rPr>
        <mc:AlternateContent>
          <mc:Choice Requires="wps">
            <w:drawing>
              <wp:anchor distT="0" distB="0" distL="0" distR="0" simplePos="0" relativeHeight="251656704" behindDoc="1" locked="0" layoutInCell="1" allowOverlap="1">
                <wp:simplePos x="0" y="0"/>
                <wp:positionH relativeFrom="page">
                  <wp:posOffset>845820</wp:posOffset>
                </wp:positionH>
                <wp:positionV relativeFrom="paragraph">
                  <wp:posOffset>208280</wp:posOffset>
                </wp:positionV>
                <wp:extent cx="5869940" cy="342900"/>
                <wp:effectExtent l="7620" t="12065" r="8890" b="6985"/>
                <wp:wrapTopAndBottom/>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42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6AC4" w:rsidRDefault="00BE7C62">
                            <w:pPr>
                              <w:pStyle w:val="BodyText"/>
                              <w:spacing w:line="249" w:lineRule="exact"/>
                              <w:ind w:left="103"/>
                            </w:pPr>
                            <w:proofErr w:type="gramStart"/>
                            <w:r>
                              <w:t>Only funded where due to advanced diabetic retinopathy and retinal occlusive diseases.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6.6pt;margin-top:16.4pt;width:462.2pt;height:27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" filled="f" strokeweight=".48pt">
                <v:textbox inset="0,0,0,0">
                  <w:txbxContent>
                    <w:p w:rsidR="00FE6AC4" w:rsidRDefault="00BE7C62">
                      <w:pPr>
                        <w:pStyle w:val="BodyText"/>
                        <w:spacing w:line="249" w:lineRule="exact"/>
                        <w:ind w:left="103"/>
                      </w:pPr>
                      <w:r>
                        <w:t>Only funded where due to advanced diabetic retinopathy and retinal occlusive diseases.</w:t>
                      </w:r>
                    </w:p>
                  </w:txbxContent>
                </v:textbox>
                <w10:wrap type="topAndBottom" anchorx="page"/>
              </v:shape>
            </w:pict>
          </mc:Fallback>
        </mc:AlternateContent>
      </w:r>
      <w:r>
        <w:rPr>
          <w:b/>
          <w:sz w:val="24"/>
        </w:rPr>
        <w:t>Policy Statement:</w:t>
      </w:r>
    </w:p>
    <w:p w:rsidR="00FE6AC4" w:rsidRDefault="00FE6AC4">
      <w:pPr>
        <w:pStyle w:val="BodyText"/>
        <w:spacing w:before="5"/>
        <w:rPr>
          <w:b/>
          <w:sz w:val="23"/>
        </w:rPr>
      </w:pPr>
    </w:p>
    <w:p w:rsidR="00FE6AC4" w:rsidRDefault="00BE7C62">
      <w:pPr>
        <w:ind w:left="240"/>
        <w:rPr>
          <w:b/>
          <w:sz w:val="24"/>
        </w:rPr>
      </w:pPr>
      <w:r>
        <w:rPr>
          <w:noProof/>
          <w:lang w:bidi="ar-SA"/>
        </w:rPr>
        <mc:AlternateContent>
          <mc:Choice Requires="wps">
            <w:drawing>
              <wp:anchor distT="0" distB="0" distL="0" distR="0" simplePos="0" relativeHeight="251657728" behindDoc="1" locked="0" layoutInCell="1" allowOverlap="1">
                <wp:simplePos x="0" y="0"/>
                <wp:positionH relativeFrom="page">
                  <wp:posOffset>845820</wp:posOffset>
                </wp:positionH>
                <wp:positionV relativeFrom="paragraph">
                  <wp:posOffset>207010</wp:posOffset>
                </wp:positionV>
                <wp:extent cx="5869940" cy="686435"/>
                <wp:effectExtent l="7620" t="10160" r="8890" b="8255"/>
                <wp:wrapTopAndBottom/>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6864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6AC4" w:rsidRDefault="00BE7C62">
                            <w:pPr>
                              <w:ind w:left="103"/>
                              <w:rPr>
                                <w:sz w:val="23"/>
                              </w:rPr>
                            </w:pPr>
                            <w:r>
                              <w:rPr>
                                <w:sz w:val="23"/>
                              </w:rPr>
                              <w:t xml:space="preserve">Bevacizumab is not licensed for any ophthalmic indications. There is some limited evidence of its efficacy in treating iris </w:t>
                            </w:r>
                            <w:proofErr w:type="spellStart"/>
                            <w:r>
                              <w:rPr>
                                <w:sz w:val="23"/>
                              </w:rPr>
                              <w:t>rubeosis</w:t>
                            </w:r>
                            <w:proofErr w:type="spellEnd"/>
                            <w:r>
                              <w:rPr>
                                <w:sz w:val="23"/>
                              </w:rPr>
                              <w:t xml:space="preserve"> and </w:t>
                            </w:r>
                            <w:proofErr w:type="spellStart"/>
                            <w:r>
                              <w:rPr>
                                <w:sz w:val="23"/>
                              </w:rPr>
                              <w:t>rubeotic</w:t>
                            </w:r>
                            <w:proofErr w:type="spellEnd"/>
                            <w:r>
                              <w:rPr>
                                <w:sz w:val="23"/>
                              </w:rPr>
                              <w:t>/</w:t>
                            </w:r>
                            <w:proofErr w:type="spellStart"/>
                            <w:r>
                              <w:rPr>
                                <w:sz w:val="23"/>
                              </w:rPr>
                              <w:t>neovascualr</w:t>
                            </w:r>
                            <w:proofErr w:type="spellEnd"/>
                            <w:r>
                              <w:rPr>
                                <w:sz w:val="23"/>
                              </w:rPr>
                              <w:t xml:space="preserve"> glaucoma. Treatment is restricted to patients who meet the criteria set out in this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6.6pt;margin-top:16.3pt;width:462.2pt;height:54.0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" filled="f" strokeweight=".48pt">
                <v:textbox inset="0,0,0,0">
                  <w:txbxContent>
                    <w:p w:rsidR="00FE6AC4" w:rsidRDefault="00BE7C62">
                      <w:pPr>
                        <w:ind w:left="103"/>
                        <w:rPr>
                          <w:sz w:val="23"/>
                        </w:rPr>
                      </w:pPr>
                      <w:r>
                        <w:rPr>
                          <w:sz w:val="23"/>
                        </w:rPr>
                        <w:t>Bevacizumab is not licensed for any ophthalmic indications. There is some limited evidence of its efficacy in treating iris rubeosis and rubeotic/neovascualr glaucoma. Treatment is restricted to patients who meet the criteria set out in this policy.</w:t>
                      </w:r>
                    </w:p>
                  </w:txbxContent>
                </v:textbox>
                <w10:wrap type="topAndBottom" anchorx="page"/>
              </v:shape>
            </w:pict>
          </mc:Fallback>
        </mc:AlternateContent>
      </w:r>
      <w:r>
        <w:rPr>
          <w:b/>
          <w:sz w:val="24"/>
        </w:rPr>
        <w:t>Rationale:</w:t>
      </w:r>
    </w:p>
    <w:p w:rsidR="00FE6AC4" w:rsidRDefault="00FE6AC4">
      <w:pPr>
        <w:pStyle w:val="BodyText"/>
        <w:spacing w:before="3"/>
        <w:rPr>
          <w:b/>
          <w:sz w:val="23"/>
        </w:rPr>
      </w:pPr>
    </w:p>
    <w:p w:rsidR="00FE6AC4" w:rsidRDefault="00BE7C62">
      <w:pPr>
        <w:ind w:left="240"/>
        <w:rPr>
          <w:b/>
          <w:sz w:val="24"/>
        </w:rPr>
      </w:pPr>
      <w:r>
        <w:rPr>
          <w:noProof/>
          <w:lang w:bidi="ar-SA"/>
        </w:rPr>
        <mc:AlternateContent>
          <mc:Choice Requires="wps">
            <w:drawing>
              <wp:anchor distT="0" distB="0" distL="0" distR="0" simplePos="0" relativeHeight="251658752" behindDoc="1" locked="0" layoutInCell="1" allowOverlap="1">
                <wp:simplePos x="0" y="0"/>
                <wp:positionH relativeFrom="page">
                  <wp:posOffset>845820</wp:posOffset>
                </wp:positionH>
                <wp:positionV relativeFrom="paragraph">
                  <wp:posOffset>207645</wp:posOffset>
                </wp:positionV>
                <wp:extent cx="5869940" cy="5123180"/>
                <wp:effectExtent l="7620" t="11430" r="8890" b="889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51231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7C62" w:rsidRPr="003A79F7" w:rsidRDefault="00BE7C62" w:rsidP="00BE7C62">
                            <w:pPr>
                              <w:ind w:left="57"/>
                              <w:rPr>
                                <w:b/>
                              </w:rPr>
                            </w:pPr>
                            <w:r w:rsidRPr="003A79F7">
                              <w:rPr>
                                <w:b/>
                              </w:rPr>
                              <w:t xml:space="preserve">What is iris </w:t>
                            </w:r>
                            <w:proofErr w:type="spellStart"/>
                            <w:proofErr w:type="gramStart"/>
                            <w:r w:rsidRPr="003A79F7">
                              <w:rPr>
                                <w:b/>
                              </w:rPr>
                              <w:t>rubeosis</w:t>
                            </w:r>
                            <w:proofErr w:type="spellEnd"/>
                            <w:proofErr w:type="gramEnd"/>
                          </w:p>
                          <w:p w:rsidR="00BE7C62" w:rsidRPr="003A79F7" w:rsidRDefault="00BE7C62" w:rsidP="00BE7C62">
                            <w:pPr>
                              <w:ind w:left="57"/>
                              <w:rPr>
                                <w:rFonts w:cstheme="minorHAnsi"/>
                                <w:lang w:val="en"/>
                              </w:rPr>
                            </w:pPr>
                            <w:proofErr w:type="spellStart"/>
                            <w:r w:rsidRPr="003A79F7">
                              <w:rPr>
                                <w:rFonts w:cstheme="minorHAnsi"/>
                                <w:lang w:val="en"/>
                              </w:rPr>
                              <w:t>Rubeosis</w:t>
                            </w:r>
                            <w:proofErr w:type="spellEnd"/>
                            <w:r w:rsidRPr="003A79F7">
                              <w:rPr>
                                <w:rFonts w:cstheme="minorHAnsi"/>
                                <w:lang w:val="en"/>
                              </w:rPr>
                              <w:t xml:space="preserve"> </w:t>
                            </w:r>
                            <w:proofErr w:type="spellStart"/>
                            <w:proofErr w:type="gramStart"/>
                            <w:r w:rsidRPr="003A79F7">
                              <w:rPr>
                                <w:rFonts w:cstheme="minorHAnsi"/>
                                <w:lang w:val="en"/>
                              </w:rPr>
                              <w:t>iridis</w:t>
                            </w:r>
                            <w:proofErr w:type="spellEnd"/>
                            <w:r w:rsidRPr="003A79F7">
                              <w:rPr>
                                <w:rFonts w:cstheme="minorHAnsi"/>
                                <w:lang w:val="en"/>
                              </w:rPr>
                              <w:t>,</w:t>
                            </w:r>
                            <w:proofErr w:type="gramEnd"/>
                            <w:r w:rsidRPr="003A79F7">
                              <w:rPr>
                                <w:rFonts w:cstheme="minorHAnsi"/>
                                <w:lang w:val="en"/>
                              </w:rPr>
                              <w:t xml:space="preserve"> is a </w:t>
                            </w:r>
                            <w:r w:rsidRPr="003A79F7">
                              <w:rPr>
                                <w:rStyle w:val="Strong"/>
                                <w:rFonts w:cstheme="minorHAnsi"/>
                                <w:b w:val="0"/>
                                <w:lang w:val="en"/>
                              </w:rPr>
                              <w:t>medical condition of the iris of the eye</w:t>
                            </w:r>
                            <w:r w:rsidRPr="003A79F7">
                              <w:rPr>
                                <w:rFonts w:cstheme="minorHAnsi"/>
                                <w:lang w:val="en"/>
                              </w:rPr>
                              <w:t xml:space="preserve"> in which new abnormal blood vessels are formed on the surface of the iris. These abnormal blood vessels usually occur when the retina is starved of oxygen. </w:t>
                            </w:r>
                            <w:r w:rsidRPr="003A79F7">
                              <w:rPr>
                                <w:rFonts w:cstheme="minorHAnsi"/>
                                <w:color w:val="191919"/>
                              </w:rPr>
                              <w:t xml:space="preserve">This can be a problem associated </w:t>
                            </w:r>
                            <w:r>
                              <w:rPr>
                                <w:rFonts w:cstheme="minorHAnsi"/>
                                <w:color w:val="191919"/>
                              </w:rPr>
                              <w:t>with diabetes or retinal blocked veins.  The blood vessels can grow and cause the eye pressure to rise.  This can lead to a painful eye and reduced vision.</w:t>
                            </w:r>
                            <w:r w:rsidRPr="003A79F7">
                              <w:rPr>
                                <w:rFonts w:cstheme="minorHAnsi"/>
                                <w:lang w:val="en"/>
                              </w:rPr>
                              <w:t xml:space="preserve"> </w:t>
                            </w:r>
                          </w:p>
                          <w:p w:rsidR="00BE7C62" w:rsidRPr="00E00E30" w:rsidRDefault="00BE7C62" w:rsidP="00BE7C62">
                            <w:pPr>
                              <w:ind w:left="57"/>
                              <w:rPr>
                                <w:color w:val="FF0000"/>
                              </w:rPr>
                            </w:pPr>
                          </w:p>
                          <w:p w:rsidR="00BE7C62" w:rsidRPr="003A79F7" w:rsidRDefault="00BE7C62" w:rsidP="00BE7C62">
                            <w:pPr>
                              <w:ind w:left="57"/>
                              <w:rPr>
                                <w:b/>
                              </w:rPr>
                            </w:pPr>
                            <w:r w:rsidRPr="003A79F7">
                              <w:rPr>
                                <w:b/>
                              </w:rPr>
                              <w:t>What is Bevacizumab (</w:t>
                            </w:r>
                            <w:proofErr w:type="spellStart"/>
                            <w:proofErr w:type="gramStart"/>
                            <w:r w:rsidRPr="003A79F7">
                              <w:rPr>
                                <w:b/>
                              </w:rPr>
                              <w:t>Avastin</w:t>
                            </w:r>
                            <w:proofErr w:type="spellEnd"/>
                            <w:proofErr w:type="gramEnd"/>
                            <w:r w:rsidRPr="003A79F7">
                              <w:rPr>
                                <w:b/>
                              </w:rPr>
                              <w:t>)</w:t>
                            </w:r>
                          </w:p>
                          <w:p w:rsidR="00BE7C62" w:rsidRPr="003A79F7" w:rsidRDefault="00BE7C62" w:rsidP="00BE7C62">
                            <w:pPr>
                              <w:ind w:left="57"/>
                            </w:pPr>
                            <w:r w:rsidRPr="003A79F7">
                              <w:t xml:space="preserve">Bevacizumab is a drug that blocks a substance called vascular endothelial growth factor (VEGF) which stimulates the growth of new blood vessels in the eye. </w:t>
                            </w:r>
                            <w:r>
                              <w:t>This is produced when the retina is starved of oxygen.</w:t>
                            </w:r>
                          </w:p>
                          <w:p w:rsidR="00BE7C62" w:rsidRPr="00E00E30" w:rsidRDefault="00BE7C62" w:rsidP="00BE7C62">
                            <w:pPr>
                              <w:ind w:left="57"/>
                              <w:rPr>
                                <w:color w:val="FF0000"/>
                              </w:rPr>
                            </w:pPr>
                          </w:p>
                          <w:p w:rsidR="00BE7C62" w:rsidRPr="003A79F7" w:rsidRDefault="00BE7C62" w:rsidP="00BE7C62">
                            <w:pPr>
                              <w:ind w:left="57"/>
                              <w:rPr>
                                <w:b/>
                              </w:rPr>
                            </w:pPr>
                            <w:r w:rsidRPr="003A79F7">
                              <w:rPr>
                                <w:b/>
                              </w:rPr>
                              <w:t>What does the policy mean for me?</w:t>
                            </w:r>
                          </w:p>
                          <w:p w:rsidR="00BE7C62" w:rsidRPr="003A79F7" w:rsidRDefault="00BE7C62" w:rsidP="00BE7C62">
                            <w:pPr>
                              <w:ind w:left="57"/>
                            </w:pPr>
                            <w:r w:rsidRPr="003A79F7">
                              <w:t xml:space="preserve">Bevacizumab is not licenced in the UK for treating iris </w:t>
                            </w:r>
                            <w:proofErr w:type="spellStart"/>
                            <w:r w:rsidRPr="003A79F7">
                              <w:t>rubeosis</w:t>
                            </w:r>
                            <w:proofErr w:type="spellEnd"/>
                            <w:r w:rsidRPr="003A79F7">
                              <w:t>. However, there is evidence to show that is it an effective treatment for this condition, and therefore it is sometimes made available to patients through the NHS. This policy sets out the clinical criteria that a patient needs to meet in order to access this treatment. If your doctor believes that you meet the criteria set out in the policy the treatment would be funded by the NHS.</w:t>
                            </w:r>
                          </w:p>
                          <w:p w:rsidR="00BE7C62" w:rsidRPr="003A79F7" w:rsidRDefault="00BE7C62" w:rsidP="00BE7C62">
                            <w:pPr>
                              <w:ind w:left="57"/>
                            </w:pPr>
                          </w:p>
                          <w:p w:rsidR="00BE7C62" w:rsidRPr="003A79F7" w:rsidRDefault="00BE7C62" w:rsidP="00BE7C62">
                            <w:pPr>
                              <w:ind w:left="57"/>
                              <w:rPr>
                                <w:b/>
                              </w:rPr>
                            </w:pPr>
                            <w:r w:rsidRPr="003A79F7">
                              <w:rPr>
                                <w:b/>
                              </w:rPr>
                              <w:t>Glossary of clinical terms contained within the policy</w:t>
                            </w:r>
                          </w:p>
                          <w:p w:rsidR="00BE7C62" w:rsidRPr="00BE7C62" w:rsidRDefault="00BE7C62" w:rsidP="00BE7C62">
                            <w:pPr>
                              <w:pStyle w:val="ListParagraph"/>
                              <w:widowControl/>
                              <w:numPr>
                                <w:ilvl w:val="0"/>
                                <w:numId w:val="2"/>
                              </w:numPr>
                              <w:autoSpaceDE/>
                              <w:autoSpaceDN/>
                              <w:spacing w:after="200" w:line="276" w:lineRule="auto"/>
                              <w:contextualSpacing/>
                            </w:pPr>
                            <w:r w:rsidRPr="001A1517">
                              <w:rPr>
                                <w:rFonts w:cstheme="minorHAnsi"/>
                                <w:b/>
                                <w:color w:val="000000"/>
                              </w:rPr>
                              <w:t>Diabetic retinopathy</w:t>
                            </w:r>
                            <w:r>
                              <w:rPr>
                                <w:rFonts w:cstheme="minorHAnsi"/>
                                <w:color w:val="000000"/>
                              </w:rPr>
                              <w:t xml:space="preserve"> - </w:t>
                            </w:r>
                            <w:r w:rsidRPr="00BE7C62">
                              <w:rPr>
                                <w:bCs/>
                              </w:rPr>
                              <w:t>Diabetic retinopathy is a complication of diabetes, caused by high blood sugar levels damaging the back of the eye (retina). It can cause blindness if left undiagnosed and untreated</w:t>
                            </w:r>
                          </w:p>
                          <w:p w:rsidR="00BE7C62" w:rsidRPr="00BE7C62" w:rsidRDefault="00BE7C62" w:rsidP="00BE7C62">
                            <w:pPr>
                              <w:pStyle w:val="ListParagraph"/>
                              <w:widowControl/>
                              <w:numPr>
                                <w:ilvl w:val="0"/>
                                <w:numId w:val="1"/>
                              </w:numPr>
                              <w:autoSpaceDE/>
                              <w:autoSpaceDN/>
                              <w:spacing w:after="200" w:line="276" w:lineRule="auto"/>
                              <w:contextualSpacing/>
                              <w:rPr>
                                <w:bCs/>
                              </w:rPr>
                            </w:pPr>
                            <w:r w:rsidRPr="001A1517">
                              <w:rPr>
                                <w:rFonts w:cstheme="minorHAnsi"/>
                                <w:b/>
                                <w:color w:val="000000"/>
                              </w:rPr>
                              <w:t>Retinal occlusive diseases</w:t>
                            </w:r>
                            <w:r>
                              <w:rPr>
                                <w:rFonts w:cstheme="minorHAnsi"/>
                                <w:color w:val="000000"/>
                              </w:rPr>
                              <w:t xml:space="preserve"> - </w:t>
                            </w:r>
                            <w:r w:rsidRPr="00BE7C62">
                              <w:rPr>
                                <w:bCs/>
                              </w:rPr>
                              <w:t>Tiny blood vessels supply the retina with oxygen and other nutrients.  Arteries deliver the blood, and the retinal veins carry it out. Sometimes a vein can then become blocked, or occluded, making it difficult for blood to leave the eye. This is called a </w:t>
                            </w:r>
                            <w:r w:rsidRPr="00BE7C62">
                              <w:t>retinal vein occlusion</w:t>
                            </w:r>
                            <w:r w:rsidRPr="00BE7C62">
                              <w:rPr>
                                <w:bCs/>
                              </w:rPr>
                              <w:t> </w:t>
                            </w:r>
                            <w:r w:rsidRPr="00BE7C62">
                              <w:t>(RVO)</w:t>
                            </w:r>
                            <w:r w:rsidRPr="00BE7C62">
                              <w:rPr>
                                <w:bCs/>
                              </w:rPr>
                              <w:t>. The blocked circulation can lead to swelling and bleeding within the retina, growth of abnormal retinal blood vessels, and partial or total vision loss.</w:t>
                            </w:r>
                          </w:p>
                          <w:p w:rsidR="00FE6AC4" w:rsidRDefault="00FE6AC4">
                            <w:pPr>
                              <w:pStyle w:val="BodyText"/>
                              <w:ind w:left="103" w:right="31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66.6pt;margin-top:16.35pt;width:462.2pt;height:403.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" filled="f" strokeweight=".48pt">
                <v:textbox inset="0,0,0,0">
                  <w:txbxContent>
                    <w:p w:rsidR="00BE7C62" w:rsidRPr="003A79F7" w:rsidRDefault="00BE7C62" w:rsidP="00BE7C62">
                      <w:pPr>
                        <w:ind w:left="57"/>
                        <w:rPr>
                          <w:b/>
                        </w:rPr>
                      </w:pPr>
                      <w:r w:rsidRPr="003A79F7">
                        <w:rPr>
                          <w:b/>
                        </w:rPr>
                        <w:t>What is iris rubeosis</w:t>
                      </w:r>
                    </w:p>
                    <w:p w:rsidR="00BE7C62" w:rsidRPr="003A79F7" w:rsidRDefault="00BE7C62" w:rsidP="00BE7C62">
                      <w:pPr>
                        <w:ind w:left="57"/>
                        <w:rPr>
                          <w:rFonts w:cstheme="minorHAnsi"/>
                          <w:lang w:val="en"/>
                        </w:rPr>
                      </w:pPr>
                      <w:r w:rsidRPr="003A79F7">
                        <w:rPr>
                          <w:rFonts w:cstheme="minorHAnsi"/>
                          <w:lang w:val="en"/>
                        </w:rPr>
                        <w:t xml:space="preserve">Rubeosis iridis, is a </w:t>
                      </w:r>
                      <w:r w:rsidRPr="003A79F7">
                        <w:rPr>
                          <w:rStyle w:val="Strong"/>
                          <w:rFonts w:cstheme="minorHAnsi"/>
                          <w:b w:val="0"/>
                          <w:lang w:val="en"/>
                        </w:rPr>
                        <w:t>medical condition of the iris of the eye</w:t>
                      </w:r>
                      <w:r w:rsidRPr="003A79F7">
                        <w:rPr>
                          <w:rFonts w:cstheme="minorHAnsi"/>
                          <w:lang w:val="en"/>
                        </w:rPr>
                        <w:t xml:space="preserve"> in which new abnormal blood vessels are formed on the surface of the iris. These abnormal blood vessels usually occur when the retina is starved of oxygen. </w:t>
                      </w:r>
                      <w:r w:rsidRPr="003A79F7">
                        <w:rPr>
                          <w:rFonts w:cstheme="minorHAnsi"/>
                          <w:color w:val="191919"/>
                        </w:rPr>
                        <w:t xml:space="preserve">This can be a problem associated </w:t>
                      </w:r>
                      <w:r>
                        <w:rPr>
                          <w:rFonts w:cstheme="minorHAnsi"/>
                          <w:color w:val="191919"/>
                        </w:rPr>
                        <w:t>with diabetes or retinal blocked veins.  The blood vessels can grow and cause the eye pressure to rise.  This can lead to a painful eye and reduced vision.</w:t>
                      </w:r>
                      <w:r w:rsidRPr="003A79F7">
                        <w:rPr>
                          <w:rFonts w:cstheme="minorHAnsi"/>
                          <w:lang w:val="en"/>
                        </w:rPr>
                        <w:t xml:space="preserve"> </w:t>
                      </w:r>
                    </w:p>
                    <w:p w:rsidR="00BE7C62" w:rsidRPr="00E00E30" w:rsidRDefault="00BE7C62" w:rsidP="00BE7C62">
                      <w:pPr>
                        <w:ind w:left="57"/>
                        <w:rPr>
                          <w:color w:val="FF0000"/>
                        </w:rPr>
                      </w:pPr>
                    </w:p>
                    <w:p w:rsidR="00BE7C62" w:rsidRPr="003A79F7" w:rsidRDefault="00BE7C62" w:rsidP="00BE7C62">
                      <w:pPr>
                        <w:ind w:left="57"/>
                        <w:rPr>
                          <w:b/>
                        </w:rPr>
                      </w:pPr>
                      <w:r w:rsidRPr="003A79F7">
                        <w:rPr>
                          <w:b/>
                        </w:rPr>
                        <w:t>What is Bevacizumab (Avastin)</w:t>
                      </w:r>
                    </w:p>
                    <w:p w:rsidR="00BE7C62" w:rsidRPr="003A79F7" w:rsidRDefault="00BE7C62" w:rsidP="00BE7C62">
                      <w:pPr>
                        <w:ind w:left="57"/>
                      </w:pPr>
                      <w:r w:rsidRPr="003A79F7">
                        <w:t xml:space="preserve">Bevacizumab is a drug that blocks a substance called vascular endothelial growth factor (VEGF) which stimulates the growth of new blood vessels in the eye. </w:t>
                      </w:r>
                      <w:r>
                        <w:t>This is produced when the retina is starved of oxygen.</w:t>
                      </w:r>
                    </w:p>
                    <w:p w:rsidR="00BE7C62" w:rsidRPr="00E00E30" w:rsidRDefault="00BE7C62" w:rsidP="00BE7C62">
                      <w:pPr>
                        <w:ind w:left="57"/>
                        <w:rPr>
                          <w:color w:val="FF0000"/>
                        </w:rPr>
                      </w:pPr>
                    </w:p>
                    <w:p w:rsidR="00BE7C62" w:rsidRPr="003A79F7" w:rsidRDefault="00BE7C62" w:rsidP="00BE7C62">
                      <w:pPr>
                        <w:ind w:left="57"/>
                        <w:rPr>
                          <w:b/>
                        </w:rPr>
                      </w:pPr>
                      <w:r w:rsidRPr="003A79F7">
                        <w:rPr>
                          <w:b/>
                        </w:rPr>
                        <w:t>What does the policy mean for me?</w:t>
                      </w:r>
                    </w:p>
                    <w:p w:rsidR="00BE7C62" w:rsidRPr="003A79F7" w:rsidRDefault="00BE7C62" w:rsidP="00BE7C62">
                      <w:pPr>
                        <w:ind w:left="57"/>
                      </w:pPr>
                      <w:r w:rsidRPr="003A79F7">
                        <w:t>Bevacizumab is not licenced in the UK for treating iris rubeosis. However, there is evidence to show that is it an effective treatment for this condition, and therefore it is sometimes made available to patients through the NHS. This policy sets out the clinical criteria that a patient needs to meet in order to access this treatment. If your doctor believes that you meet the criteria set out in the policy the treatment would be funded by the NHS.</w:t>
                      </w:r>
                    </w:p>
                    <w:p w:rsidR="00BE7C62" w:rsidRPr="003A79F7" w:rsidRDefault="00BE7C62" w:rsidP="00BE7C62">
                      <w:pPr>
                        <w:ind w:left="57"/>
                      </w:pPr>
                    </w:p>
                    <w:p w:rsidR="00BE7C62" w:rsidRPr="003A79F7" w:rsidRDefault="00BE7C62" w:rsidP="00BE7C62">
                      <w:pPr>
                        <w:ind w:left="57"/>
                        <w:rPr>
                          <w:b/>
                        </w:rPr>
                      </w:pPr>
                      <w:r w:rsidRPr="003A79F7">
                        <w:rPr>
                          <w:b/>
                        </w:rPr>
                        <w:t>Glossary of clinical terms contained within the policy</w:t>
                      </w:r>
                    </w:p>
                    <w:p w:rsidR="00BE7C62" w:rsidRPr="00BE7C62" w:rsidRDefault="00BE7C62" w:rsidP="00BE7C62">
                      <w:pPr>
                        <w:pStyle w:val="ListParagraph"/>
                        <w:widowControl/>
                        <w:numPr>
                          <w:ilvl w:val="0"/>
                          <w:numId w:val="2"/>
                        </w:numPr>
                        <w:autoSpaceDE/>
                        <w:autoSpaceDN/>
                        <w:spacing w:after="200" w:line="276" w:lineRule="auto"/>
                        <w:contextualSpacing/>
                      </w:pPr>
                      <w:r w:rsidRPr="001A1517">
                        <w:rPr>
                          <w:rFonts w:cstheme="minorHAnsi"/>
                          <w:b/>
                          <w:color w:val="000000"/>
                        </w:rPr>
                        <w:t>Diabetic retinopathy</w:t>
                      </w:r>
                      <w:r>
                        <w:rPr>
                          <w:rFonts w:cstheme="minorHAnsi"/>
                          <w:color w:val="000000"/>
                        </w:rPr>
                        <w:t xml:space="preserve"> - </w:t>
                      </w:r>
                      <w:r w:rsidRPr="00BE7C62">
                        <w:rPr>
                          <w:bCs/>
                        </w:rPr>
                        <w:t>Diabetic retinopathy is a complication of diabetes, caused by high blood sugar levels damaging the back of the eye (retina). It can cause blindness if left undiagnosed and untreated</w:t>
                      </w:r>
                    </w:p>
                    <w:p w:rsidR="00BE7C62" w:rsidRPr="00BE7C62" w:rsidRDefault="00BE7C62" w:rsidP="00BE7C62">
                      <w:pPr>
                        <w:pStyle w:val="ListParagraph"/>
                        <w:widowControl/>
                        <w:numPr>
                          <w:ilvl w:val="0"/>
                          <w:numId w:val="1"/>
                        </w:numPr>
                        <w:autoSpaceDE/>
                        <w:autoSpaceDN/>
                        <w:spacing w:after="200" w:line="276" w:lineRule="auto"/>
                        <w:contextualSpacing/>
                        <w:rPr>
                          <w:bCs/>
                        </w:rPr>
                      </w:pPr>
                      <w:r w:rsidRPr="001A1517">
                        <w:rPr>
                          <w:rFonts w:cstheme="minorHAnsi"/>
                          <w:b/>
                          <w:color w:val="000000"/>
                        </w:rPr>
                        <w:t>Retinal occlusive diseases</w:t>
                      </w:r>
                      <w:r>
                        <w:rPr>
                          <w:rFonts w:cstheme="minorHAnsi"/>
                          <w:color w:val="000000"/>
                        </w:rPr>
                        <w:t xml:space="preserve"> - </w:t>
                      </w:r>
                      <w:r w:rsidRPr="00BE7C62">
                        <w:rPr>
                          <w:bCs/>
                        </w:rPr>
                        <w:t>Tiny blood vessels supply the retina with oxygen and other nutrients.  Arteries deliver the blood, and the retinal veins carry it out. Sometimes a vein can then become blocked, or occluded, making it difficult for blood to leave the eye. This is called a </w:t>
                      </w:r>
                      <w:r w:rsidRPr="00BE7C62">
                        <w:t>retinal vein occlusion</w:t>
                      </w:r>
                      <w:r w:rsidRPr="00BE7C62">
                        <w:rPr>
                          <w:bCs/>
                        </w:rPr>
                        <w:t> </w:t>
                      </w:r>
                      <w:r w:rsidRPr="00BE7C62">
                        <w:t>(RVO)</w:t>
                      </w:r>
                      <w:r w:rsidRPr="00BE7C62">
                        <w:rPr>
                          <w:bCs/>
                        </w:rPr>
                        <w:t>. The blocked circulation can lead to swelling and bleeding within the retina, growth of abnormal retinal blood vessels, and partial or total vision loss.</w:t>
                      </w:r>
                    </w:p>
                    <w:p w:rsidR="00FE6AC4" w:rsidRDefault="00FE6AC4">
                      <w:pPr>
                        <w:pStyle w:val="BodyText"/>
                        <w:ind w:left="103" w:right="319"/>
                      </w:pPr>
                    </w:p>
                  </w:txbxContent>
                </v:textbox>
                <w10:wrap type="topAndBottom" anchorx="page"/>
              </v:shape>
            </w:pict>
          </mc:Fallback>
        </mc:AlternateContent>
      </w:r>
      <w:r>
        <w:rPr>
          <w:b/>
          <w:sz w:val="24"/>
        </w:rPr>
        <w:t>Plain English Summary:</w:t>
      </w:r>
    </w:p>
    <w:p w:rsidR="00FE6AC4" w:rsidRDefault="00FE6AC4">
      <w:pPr>
        <w:pStyle w:val="BodyText"/>
        <w:spacing w:before="5"/>
        <w:rPr>
          <w:b/>
          <w:sz w:val="23"/>
        </w:rPr>
      </w:pPr>
    </w:p>
    <w:p w:rsidR="00BE7C62" w:rsidRDefault="00BE7C62">
      <w:pPr>
        <w:pStyle w:val="BodyText"/>
        <w:spacing w:before="5"/>
        <w:rPr>
          <w:b/>
          <w:sz w:val="23"/>
        </w:rPr>
      </w:pPr>
    </w:p>
    <w:p w:rsidR="00BE7C62" w:rsidRDefault="00BE7C62">
      <w:pPr>
        <w:pStyle w:val="BodyText"/>
        <w:spacing w:before="5"/>
        <w:rPr>
          <w:b/>
          <w:sz w:val="23"/>
        </w:rPr>
      </w:pPr>
    </w:p>
    <w:p w:rsidR="00BE7C62" w:rsidRDefault="00BE7C62">
      <w:pPr>
        <w:pStyle w:val="BodyText"/>
        <w:spacing w:before="5"/>
        <w:rPr>
          <w:b/>
          <w:sz w:val="23"/>
        </w:rPr>
      </w:pPr>
    </w:p>
    <w:p w:rsidR="00FE6AC4" w:rsidRDefault="00BE7C62">
      <w:pPr>
        <w:ind w:left="240"/>
        <w:rPr>
          <w:b/>
          <w:sz w:val="24"/>
        </w:rPr>
      </w:pPr>
      <w:r>
        <w:rPr>
          <w:noProof/>
          <w:lang w:bidi="ar-SA"/>
        </w:rPr>
        <mc:AlternateContent>
          <mc:Choice Requires="wps">
            <w:drawing>
              <wp:anchor distT="0" distB="0" distL="0" distR="0" simplePos="0" relativeHeight="251659776" behindDoc="1" locked="0" layoutInCell="1" allowOverlap="1">
                <wp:simplePos x="0" y="0"/>
                <wp:positionH relativeFrom="page">
                  <wp:posOffset>845820</wp:posOffset>
                </wp:positionH>
                <wp:positionV relativeFrom="paragraph">
                  <wp:posOffset>208280</wp:posOffset>
                </wp:positionV>
                <wp:extent cx="5869940" cy="327660"/>
                <wp:effectExtent l="7620" t="8890" r="8890" b="635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3276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E6AC4" w:rsidRDefault="00BE7C62">
                            <w:pPr>
                              <w:pStyle w:val="BodyText"/>
                              <w:spacing w:line="237" w:lineRule="auto"/>
                              <w:ind w:left="103" w:right="366"/>
                            </w:pPr>
                            <w:r>
                              <w:t>North East Treatment Advisory Group (NETAG): Bevacizumab (</w:t>
                            </w:r>
                            <w:proofErr w:type="spellStart"/>
                            <w:r>
                              <w:t>Avastin</w:t>
                            </w:r>
                            <w:proofErr w:type="spellEnd"/>
                            <w:r>
                              <w:t xml:space="preserve">®) for </w:t>
                            </w:r>
                            <w:proofErr w:type="spellStart"/>
                            <w:r>
                              <w:t>neovascular</w:t>
                            </w:r>
                            <w:proofErr w:type="spellEnd"/>
                            <w:r>
                              <w:t xml:space="preserve"> glaucoma secondary to ischaemic central retinal vein occlusion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66.6pt;margin-top:16.4pt;width:462.2pt;height:25.8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" filled="f" strokeweight=".48pt">
                <v:textbox inset="0,0,0,0">
                  <w:txbxContent>
                    <w:p w:rsidR="00FE6AC4" w:rsidRDefault="00BE7C62">
                      <w:pPr>
                        <w:pStyle w:val="BodyText"/>
                        <w:spacing w:line="237" w:lineRule="auto"/>
                        <w:ind w:left="103" w:right="366"/>
                      </w:pPr>
                      <w:r>
                        <w:t>North East Treatment Advisory Group (NETAG): Bevacizumab (Avastin®) for neovascular glaucoma secondary to ischaemic central retinal vein occlusion</w:t>
                      </w:r>
                    </w:p>
                  </w:txbxContent>
                </v:textbox>
                <w10:wrap type="topAndBottom" anchorx="page"/>
              </v:shape>
            </w:pict>
          </mc:Fallback>
        </mc:AlternateContent>
      </w:r>
      <w:r>
        <w:rPr>
          <w:b/>
          <w:sz w:val="24"/>
        </w:rPr>
        <w:t>Evidence base:</w:t>
      </w:r>
    </w:p>
    <w:p w:rsidR="00FE6AC4" w:rsidRDefault="00FE6AC4">
      <w:pPr>
        <w:pStyle w:val="BodyText"/>
        <w:spacing w:before="6"/>
        <w:rPr>
          <w:b/>
        </w:rPr>
      </w:pPr>
    </w:p>
    <w:p w:rsidR="00FE6AC4" w:rsidRDefault="00BE7C62">
      <w:pPr>
        <w:ind w:left="240"/>
        <w:rPr>
          <w:sz w:val="24"/>
        </w:rPr>
      </w:pPr>
      <w:r>
        <w:rPr>
          <w:sz w:val="24"/>
        </w:rPr>
        <w:t>Link to application form – Not applicable</w:t>
      </w:r>
    </w:p>
    <w:p w:rsidR="00FE6AC4" w:rsidRDefault="00BE7C62">
      <w:pPr>
        <w:spacing w:before="41"/>
        <w:ind w:left="240"/>
        <w:rPr>
          <w:sz w:val="24"/>
        </w:rPr>
      </w:pPr>
      <w:r>
        <w:rPr>
          <w:sz w:val="24"/>
        </w:rPr>
        <w:t xml:space="preserve">For further information please contact </w:t>
      </w:r>
      <w:hyperlink r:id="rId9">
        <w:r>
          <w:rPr>
            <w:color w:val="0000FF"/>
            <w:sz w:val="24"/>
            <w:u w:val="single" w:color="0000FF"/>
          </w:rPr>
          <w:t>GLCCG.IFR@nhs.net</w:t>
        </w:r>
      </w:hyperlink>
    </w:p>
    <w:p w:rsidR="00FE6AC4" w:rsidRDefault="00FE6AC4">
      <w:pPr>
        <w:pStyle w:val="BodyText"/>
        <w:rPr>
          <w:sz w:val="20"/>
        </w:rPr>
      </w:pPr>
    </w:p>
    <w:p w:rsidR="00FE6AC4" w:rsidRDefault="00FE6AC4">
      <w:pPr>
        <w:pStyle w:val="BodyText"/>
        <w:spacing w:before="8"/>
        <w:rPr>
          <w:sz w:val="11"/>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726"/>
      </w:tblGrid>
      <w:tr w:rsidR="00FE6AC4">
        <w:trPr>
          <w:trHeight w:val="251"/>
        </w:trPr>
        <w:tc>
          <w:tcPr>
            <w:tcW w:w="2518" w:type="dxa"/>
          </w:tcPr>
          <w:p w:rsidR="00FE6AC4" w:rsidRDefault="00BE7C62">
            <w:pPr>
              <w:pStyle w:val="TableParagraph"/>
              <w:spacing w:line="232" w:lineRule="exact"/>
              <w:rPr>
                <w:b/>
              </w:rPr>
            </w:pPr>
            <w:r>
              <w:rPr>
                <w:b/>
              </w:rPr>
              <w:t>Date of publication</w:t>
            </w:r>
          </w:p>
        </w:tc>
        <w:tc>
          <w:tcPr>
            <w:tcW w:w="6726" w:type="dxa"/>
          </w:tcPr>
          <w:p w:rsidR="00FE6AC4" w:rsidRDefault="00BE7C62">
            <w:pPr>
              <w:pStyle w:val="TableParagraph"/>
              <w:spacing w:line="232" w:lineRule="exact"/>
            </w:pPr>
            <w:r>
              <w:t>12</w:t>
            </w:r>
            <w:r>
              <w:rPr>
                <w:vertAlign w:val="superscript"/>
              </w:rPr>
              <w:t>th</w:t>
            </w:r>
            <w:r>
              <w:t xml:space="preserve"> October 2015</w:t>
            </w:r>
          </w:p>
        </w:tc>
      </w:tr>
      <w:tr w:rsidR="00FE6AC4">
        <w:trPr>
          <w:trHeight w:val="254"/>
        </w:trPr>
        <w:tc>
          <w:tcPr>
            <w:tcW w:w="2518" w:type="dxa"/>
          </w:tcPr>
          <w:p w:rsidR="00FE6AC4" w:rsidRDefault="00BE7C62">
            <w:pPr>
              <w:pStyle w:val="TableParagraph"/>
              <w:spacing w:line="235" w:lineRule="exact"/>
              <w:rPr>
                <w:b/>
              </w:rPr>
            </w:pPr>
            <w:r>
              <w:rPr>
                <w:b/>
              </w:rPr>
              <w:t>Policy review date</w:t>
            </w:r>
          </w:p>
        </w:tc>
        <w:tc>
          <w:tcPr>
            <w:tcW w:w="6726" w:type="dxa"/>
          </w:tcPr>
          <w:p w:rsidR="00FE6AC4" w:rsidRDefault="00AF2737" w:rsidP="00BE7C62">
            <w:pPr>
              <w:pStyle w:val="TableParagraph"/>
              <w:spacing w:line="235" w:lineRule="exact"/>
            </w:pPr>
            <w:r>
              <w:t>July 2022</w:t>
            </w:r>
          </w:p>
        </w:tc>
      </w:tr>
    </w:tbl>
    <w:p w:rsidR="00FE6AC4" w:rsidRDefault="00FE6AC4">
      <w:pPr>
        <w:pStyle w:val="BodyText"/>
        <w:spacing w:before="11"/>
        <w:rPr>
          <w:sz w:val="26"/>
        </w:rPr>
      </w:pPr>
    </w:p>
    <w:p w:rsidR="00FE6AC4" w:rsidRDefault="00BE7C62">
      <w:pPr>
        <w:spacing w:after="48"/>
        <w:ind w:left="240"/>
        <w:rPr>
          <w:b/>
          <w:sz w:val="24"/>
        </w:rPr>
      </w:pPr>
      <w:r>
        <w:rPr>
          <w:b/>
          <w:sz w:val="24"/>
        </w:rPr>
        <w:t>Consultation</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322"/>
      </w:tblGrid>
      <w:tr w:rsidR="00FE6AC4">
        <w:trPr>
          <w:trHeight w:val="253"/>
        </w:trPr>
        <w:tc>
          <w:tcPr>
            <w:tcW w:w="5922" w:type="dxa"/>
          </w:tcPr>
          <w:p w:rsidR="00FE6AC4" w:rsidRDefault="00BE7C62">
            <w:pPr>
              <w:pStyle w:val="TableParagraph"/>
              <w:rPr>
                <w:b/>
              </w:rPr>
            </w:pPr>
            <w:r>
              <w:rPr>
                <w:b/>
              </w:rPr>
              <w:t>Consultee</w:t>
            </w:r>
          </w:p>
        </w:tc>
        <w:tc>
          <w:tcPr>
            <w:tcW w:w="3322" w:type="dxa"/>
          </w:tcPr>
          <w:p w:rsidR="00FE6AC4" w:rsidRDefault="00BE7C62">
            <w:pPr>
              <w:pStyle w:val="TableParagraph"/>
              <w:rPr>
                <w:b/>
              </w:rPr>
            </w:pPr>
            <w:r>
              <w:rPr>
                <w:b/>
              </w:rPr>
              <w:t>Date</w:t>
            </w:r>
          </w:p>
        </w:tc>
      </w:tr>
      <w:tr w:rsidR="00FE6AC4">
        <w:trPr>
          <w:trHeight w:val="253"/>
        </w:trPr>
        <w:tc>
          <w:tcPr>
            <w:tcW w:w="5922" w:type="dxa"/>
          </w:tcPr>
          <w:p w:rsidR="00FE6AC4" w:rsidRDefault="00BE7C62">
            <w:pPr>
              <w:pStyle w:val="TableParagraph"/>
            </w:pPr>
            <w:r>
              <w:t>Clinical Programme Group</w:t>
            </w:r>
          </w:p>
        </w:tc>
        <w:tc>
          <w:tcPr>
            <w:tcW w:w="3322" w:type="dxa"/>
          </w:tcPr>
          <w:p w:rsidR="00FE6AC4" w:rsidRDefault="00BE7C62">
            <w:pPr>
              <w:pStyle w:val="TableParagraph"/>
            </w:pPr>
            <w:r>
              <w:t>30</w:t>
            </w:r>
            <w:r>
              <w:rPr>
                <w:vertAlign w:val="superscript"/>
              </w:rPr>
              <w:t>th</w:t>
            </w:r>
            <w:r>
              <w:t xml:space="preserve"> June 2015</w:t>
            </w:r>
          </w:p>
        </w:tc>
      </w:tr>
      <w:tr w:rsidR="00FE6AC4">
        <w:trPr>
          <w:trHeight w:val="254"/>
        </w:trPr>
        <w:tc>
          <w:tcPr>
            <w:tcW w:w="5922" w:type="dxa"/>
          </w:tcPr>
          <w:p w:rsidR="00FE6AC4" w:rsidRDefault="00BE7C62">
            <w:pPr>
              <w:pStyle w:val="TableParagraph"/>
            </w:pPr>
            <w:r>
              <w:t>GHNHSFT (via CPG)</w:t>
            </w:r>
          </w:p>
        </w:tc>
        <w:tc>
          <w:tcPr>
            <w:tcW w:w="3322" w:type="dxa"/>
          </w:tcPr>
          <w:p w:rsidR="00FE6AC4" w:rsidRDefault="00BE7C62">
            <w:pPr>
              <w:pStyle w:val="TableParagraph"/>
            </w:pPr>
            <w:r>
              <w:t>30</w:t>
            </w:r>
            <w:r>
              <w:rPr>
                <w:vertAlign w:val="superscript"/>
              </w:rPr>
              <w:t>th</w:t>
            </w:r>
            <w:r>
              <w:t xml:space="preserve"> June 2015</w:t>
            </w:r>
          </w:p>
        </w:tc>
      </w:tr>
      <w:tr w:rsidR="00FE6AC4">
        <w:trPr>
          <w:trHeight w:val="253"/>
        </w:trPr>
        <w:tc>
          <w:tcPr>
            <w:tcW w:w="5922" w:type="dxa"/>
          </w:tcPr>
          <w:p w:rsidR="00FE6AC4" w:rsidRDefault="00BE7C62">
            <w:pPr>
              <w:pStyle w:val="TableParagraph"/>
            </w:pPr>
            <w:r>
              <w:t>GP Membership (via CCG Live/What’s New This Week)</w:t>
            </w:r>
          </w:p>
        </w:tc>
        <w:tc>
          <w:tcPr>
            <w:tcW w:w="3322" w:type="dxa"/>
          </w:tcPr>
          <w:p w:rsidR="00FE6AC4" w:rsidRDefault="00BE7C62">
            <w:pPr>
              <w:pStyle w:val="TableParagraph"/>
            </w:pPr>
            <w:r>
              <w:t>10</w:t>
            </w:r>
            <w:r>
              <w:rPr>
                <w:vertAlign w:val="superscript"/>
              </w:rPr>
              <w:t>th</w:t>
            </w:r>
            <w:r>
              <w:t xml:space="preserve"> July – 7</w:t>
            </w:r>
            <w:r>
              <w:rPr>
                <w:vertAlign w:val="superscript"/>
              </w:rPr>
              <w:t>th</w:t>
            </w:r>
            <w:r>
              <w:t xml:space="preserve"> August 2015</w:t>
            </w:r>
          </w:p>
        </w:tc>
      </w:tr>
      <w:tr w:rsidR="00FE6AC4">
        <w:trPr>
          <w:trHeight w:val="251"/>
        </w:trPr>
        <w:tc>
          <w:tcPr>
            <w:tcW w:w="5922" w:type="dxa"/>
            <w:shd w:val="clear" w:color="auto" w:fill="C4BA94"/>
          </w:tcPr>
          <w:p w:rsidR="00FE6AC4" w:rsidRDefault="00FE6AC4">
            <w:pPr>
              <w:pStyle w:val="TableParagraph"/>
              <w:spacing w:line="240" w:lineRule="auto"/>
              <w:ind w:left="0"/>
              <w:rPr>
                <w:rFonts w:ascii="Times New Roman"/>
                <w:sz w:val="18"/>
              </w:rPr>
            </w:pPr>
          </w:p>
        </w:tc>
        <w:tc>
          <w:tcPr>
            <w:tcW w:w="3322" w:type="dxa"/>
            <w:shd w:val="clear" w:color="auto" w:fill="C4BA94"/>
          </w:tcPr>
          <w:p w:rsidR="00FE6AC4" w:rsidRDefault="00FE6AC4">
            <w:pPr>
              <w:pStyle w:val="TableParagraph"/>
              <w:spacing w:line="240" w:lineRule="auto"/>
              <w:ind w:left="0"/>
              <w:rPr>
                <w:rFonts w:ascii="Times New Roman"/>
                <w:sz w:val="18"/>
              </w:rPr>
            </w:pPr>
          </w:p>
        </w:tc>
      </w:tr>
      <w:tr w:rsidR="00FE6AC4">
        <w:trPr>
          <w:trHeight w:val="505"/>
        </w:trPr>
        <w:tc>
          <w:tcPr>
            <w:tcW w:w="5922" w:type="dxa"/>
          </w:tcPr>
          <w:p w:rsidR="00FE6AC4" w:rsidRDefault="00BE7C62">
            <w:pPr>
              <w:pStyle w:val="TableParagraph"/>
              <w:spacing w:line="250" w:lineRule="exact"/>
            </w:pPr>
            <w:r>
              <w:t>Has the consultation included patient representatives?</w:t>
            </w:r>
          </w:p>
        </w:tc>
        <w:tc>
          <w:tcPr>
            <w:tcW w:w="3322" w:type="dxa"/>
          </w:tcPr>
          <w:p w:rsidR="00FE6AC4" w:rsidRDefault="00BE7C62">
            <w:pPr>
              <w:pStyle w:val="TableParagraph"/>
              <w:spacing w:before="2" w:line="252" w:lineRule="exact"/>
              <w:ind w:right="751"/>
            </w:pPr>
            <w:r>
              <w:t>Yes (via CPG and ECCP membership)</w:t>
            </w:r>
          </w:p>
        </w:tc>
      </w:tr>
    </w:tbl>
    <w:p w:rsidR="00BE7C62" w:rsidRDefault="00BE7C62" w:rsidP="00BE7C62">
      <w:pPr>
        <w:spacing w:before="7" w:after="45"/>
        <w:rPr>
          <w:b/>
          <w:sz w:val="24"/>
        </w:rPr>
      </w:pPr>
    </w:p>
    <w:p w:rsidR="00BE7C62" w:rsidRDefault="00BE7C62" w:rsidP="00BE7C62">
      <w:pPr>
        <w:spacing w:before="7" w:after="45"/>
        <w:rPr>
          <w:b/>
          <w:sz w:val="24"/>
        </w:rPr>
      </w:pPr>
      <w:r>
        <w:rPr>
          <w:b/>
          <w:sz w:val="24"/>
        </w:rPr>
        <w:t xml:space="preserve">   Policy sign</w:t>
      </w:r>
      <w:r>
        <w:rPr>
          <w:b/>
          <w:spacing w:val="-4"/>
          <w:sz w:val="24"/>
        </w:rPr>
        <w:t xml:space="preserve"> </w:t>
      </w:r>
      <w:r>
        <w:rPr>
          <w:b/>
          <w:sz w:val="24"/>
        </w:rPr>
        <w:t>off</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2"/>
        <w:gridCol w:w="3322"/>
      </w:tblGrid>
      <w:tr w:rsidR="00BE7C62" w:rsidTr="000C4D7D">
        <w:trPr>
          <w:trHeight w:val="253"/>
        </w:trPr>
        <w:tc>
          <w:tcPr>
            <w:tcW w:w="5922" w:type="dxa"/>
          </w:tcPr>
          <w:p w:rsidR="00BE7C62" w:rsidRDefault="00BE7C62" w:rsidP="000C4D7D">
            <w:pPr>
              <w:pStyle w:val="TableParagraph"/>
              <w:rPr>
                <w:b/>
              </w:rPr>
            </w:pPr>
            <w:r>
              <w:rPr>
                <w:b/>
              </w:rPr>
              <w:t>Reviewing Body</w:t>
            </w:r>
          </w:p>
        </w:tc>
        <w:tc>
          <w:tcPr>
            <w:tcW w:w="3322" w:type="dxa"/>
          </w:tcPr>
          <w:p w:rsidR="00BE7C62" w:rsidRDefault="00BE7C62" w:rsidP="000C4D7D">
            <w:pPr>
              <w:pStyle w:val="TableParagraph"/>
              <w:rPr>
                <w:b/>
              </w:rPr>
            </w:pPr>
            <w:r>
              <w:rPr>
                <w:b/>
              </w:rPr>
              <w:t>Date of review</w:t>
            </w:r>
          </w:p>
        </w:tc>
      </w:tr>
      <w:tr w:rsidR="00BE7C62" w:rsidTr="000C4D7D">
        <w:trPr>
          <w:trHeight w:val="254"/>
        </w:trPr>
        <w:tc>
          <w:tcPr>
            <w:tcW w:w="5922" w:type="dxa"/>
          </w:tcPr>
          <w:p w:rsidR="00BE7C62" w:rsidRDefault="00BE7C62" w:rsidP="000C4D7D">
            <w:pPr>
              <w:pStyle w:val="TableParagraph"/>
            </w:pPr>
            <w:r>
              <w:t>Effective Clinical Commissioning Policy Group</w:t>
            </w:r>
          </w:p>
        </w:tc>
        <w:tc>
          <w:tcPr>
            <w:tcW w:w="3322" w:type="dxa"/>
          </w:tcPr>
          <w:p w:rsidR="00BE7C62" w:rsidRDefault="00BE7C62" w:rsidP="000C4D7D">
            <w:pPr>
              <w:pStyle w:val="TableParagraph"/>
            </w:pPr>
            <w:r>
              <w:t>3</w:t>
            </w:r>
            <w:r>
              <w:rPr>
                <w:vertAlign w:val="superscript"/>
              </w:rPr>
              <w:t>rd</w:t>
            </w:r>
            <w:r>
              <w:t xml:space="preserve"> August 2015 (virtual)</w:t>
            </w:r>
          </w:p>
        </w:tc>
      </w:tr>
      <w:tr w:rsidR="00BE7C62" w:rsidTr="000C4D7D">
        <w:trPr>
          <w:trHeight w:val="254"/>
        </w:trPr>
        <w:tc>
          <w:tcPr>
            <w:tcW w:w="5922" w:type="dxa"/>
          </w:tcPr>
          <w:p w:rsidR="00BE7C62" w:rsidRDefault="00BE7C62" w:rsidP="000C4D7D">
            <w:pPr>
              <w:pStyle w:val="TableParagraph"/>
            </w:pPr>
            <w:r>
              <w:t>Integrated Governance and Quality Committee</w:t>
            </w:r>
          </w:p>
        </w:tc>
        <w:tc>
          <w:tcPr>
            <w:tcW w:w="3322" w:type="dxa"/>
          </w:tcPr>
          <w:p w:rsidR="00BE7C62" w:rsidRDefault="00BE7C62" w:rsidP="000C4D7D">
            <w:pPr>
              <w:pStyle w:val="TableParagraph"/>
            </w:pPr>
            <w:r>
              <w:t>20</w:t>
            </w:r>
            <w:r>
              <w:rPr>
                <w:vertAlign w:val="superscript"/>
              </w:rPr>
              <w:t>th</w:t>
            </w:r>
            <w:r>
              <w:t xml:space="preserve"> August 2015</w:t>
            </w:r>
          </w:p>
        </w:tc>
      </w:tr>
    </w:tbl>
    <w:p w:rsidR="00BE7C62" w:rsidRDefault="00BE7C62" w:rsidP="00BE7C62">
      <w:pPr>
        <w:pStyle w:val="BodyText"/>
        <w:spacing w:before="5"/>
        <w:rPr>
          <w:b/>
          <w:sz w:val="21"/>
        </w:rPr>
      </w:pPr>
    </w:p>
    <w:p w:rsidR="00BE7C62" w:rsidRDefault="00BE7C62" w:rsidP="00BE7C62">
      <w:pPr>
        <w:pStyle w:val="Heading2"/>
        <w:spacing w:after="5"/>
        <w:ind w:left="221"/>
        <w:rPr>
          <w:rFonts w:ascii="Arial"/>
        </w:rPr>
      </w:pPr>
      <w:r>
        <w:rPr>
          <w:rFonts w:ascii="Arial"/>
        </w:rPr>
        <w:t>Version</w:t>
      </w:r>
      <w:r>
        <w:rPr>
          <w:rFonts w:ascii="Arial"/>
          <w:spacing w:val="-5"/>
        </w:rPr>
        <w:t xml:space="preserve"> </w:t>
      </w:r>
      <w:r>
        <w:rPr>
          <w:rFonts w:ascii="Arial"/>
        </w:rPr>
        <w:t>Control</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2103"/>
        <w:gridCol w:w="876"/>
        <w:gridCol w:w="4820"/>
      </w:tblGrid>
      <w:tr w:rsidR="00BE7C62" w:rsidTr="000C4D7D">
        <w:trPr>
          <w:trHeight w:val="292"/>
        </w:trPr>
        <w:tc>
          <w:tcPr>
            <w:tcW w:w="1416" w:type="dxa"/>
          </w:tcPr>
          <w:p w:rsidR="00BE7C62" w:rsidRDefault="00BE7C62" w:rsidP="000C4D7D">
            <w:pPr>
              <w:pStyle w:val="TableParagraph"/>
              <w:spacing w:line="250" w:lineRule="exact"/>
              <w:rPr>
                <w:b/>
              </w:rPr>
            </w:pPr>
            <w:r>
              <w:rPr>
                <w:b/>
              </w:rPr>
              <w:t>Version No</w:t>
            </w:r>
          </w:p>
        </w:tc>
        <w:tc>
          <w:tcPr>
            <w:tcW w:w="2103" w:type="dxa"/>
          </w:tcPr>
          <w:p w:rsidR="00BE7C62" w:rsidRDefault="00BE7C62" w:rsidP="000C4D7D">
            <w:pPr>
              <w:pStyle w:val="TableParagraph"/>
              <w:spacing w:line="250" w:lineRule="exact"/>
              <w:rPr>
                <w:b/>
              </w:rPr>
            </w:pPr>
            <w:r>
              <w:rPr>
                <w:b/>
              </w:rPr>
              <w:t>Type of Change</w:t>
            </w:r>
          </w:p>
        </w:tc>
        <w:tc>
          <w:tcPr>
            <w:tcW w:w="876" w:type="dxa"/>
          </w:tcPr>
          <w:p w:rsidR="00BE7C62" w:rsidRDefault="00BE7C62" w:rsidP="000C4D7D">
            <w:pPr>
              <w:pStyle w:val="TableParagraph"/>
              <w:spacing w:line="250" w:lineRule="exact"/>
              <w:rPr>
                <w:b/>
              </w:rPr>
            </w:pPr>
            <w:r>
              <w:rPr>
                <w:b/>
              </w:rPr>
              <w:t>Date</w:t>
            </w:r>
          </w:p>
        </w:tc>
        <w:tc>
          <w:tcPr>
            <w:tcW w:w="4820" w:type="dxa"/>
          </w:tcPr>
          <w:p w:rsidR="00BE7C62" w:rsidRDefault="00BE7C62" w:rsidP="000C4D7D">
            <w:pPr>
              <w:pStyle w:val="TableParagraph"/>
              <w:spacing w:line="250" w:lineRule="exact"/>
              <w:rPr>
                <w:b/>
              </w:rPr>
            </w:pPr>
            <w:r>
              <w:rPr>
                <w:b/>
              </w:rPr>
              <w:t>Description of Change</w:t>
            </w:r>
          </w:p>
        </w:tc>
      </w:tr>
      <w:tr w:rsidR="00BE7C62" w:rsidTr="000C4D7D">
        <w:trPr>
          <w:trHeight w:val="316"/>
        </w:trPr>
        <w:tc>
          <w:tcPr>
            <w:tcW w:w="1416" w:type="dxa"/>
          </w:tcPr>
          <w:p w:rsidR="00BE7C62" w:rsidRDefault="00BE7C62" w:rsidP="00BE7C62">
            <w:pPr>
              <w:pStyle w:val="TableParagraph"/>
              <w:spacing w:line="245" w:lineRule="exact"/>
              <w:ind w:left="113"/>
            </w:pPr>
            <w:r>
              <w:t>1</w:t>
            </w:r>
          </w:p>
        </w:tc>
        <w:tc>
          <w:tcPr>
            <w:tcW w:w="2103" w:type="dxa"/>
          </w:tcPr>
          <w:p w:rsidR="00BE7C62" w:rsidRDefault="00BE7C62" w:rsidP="000C4D7D">
            <w:pPr>
              <w:pStyle w:val="TableParagraph"/>
              <w:spacing w:line="240" w:lineRule="auto"/>
              <w:ind w:left="0"/>
              <w:rPr>
                <w:rFonts w:ascii="Times New Roman"/>
              </w:rPr>
            </w:pPr>
          </w:p>
        </w:tc>
        <w:tc>
          <w:tcPr>
            <w:tcW w:w="876" w:type="dxa"/>
          </w:tcPr>
          <w:p w:rsidR="00BE7C62" w:rsidRDefault="00BE7C62" w:rsidP="000C4D7D">
            <w:pPr>
              <w:pStyle w:val="TableParagraph"/>
              <w:spacing w:line="240" w:lineRule="auto"/>
              <w:ind w:left="0"/>
              <w:rPr>
                <w:rFonts w:ascii="Times New Roman"/>
              </w:rPr>
            </w:pPr>
          </w:p>
        </w:tc>
        <w:tc>
          <w:tcPr>
            <w:tcW w:w="4820" w:type="dxa"/>
          </w:tcPr>
          <w:p w:rsidR="00BE7C62" w:rsidRDefault="00BE7C62" w:rsidP="00BE7C62">
            <w:pPr>
              <w:pStyle w:val="TableParagraph"/>
              <w:spacing w:before="41" w:line="240" w:lineRule="auto"/>
              <w:ind w:left="57"/>
            </w:pPr>
            <w:r>
              <w:t>Date of publication 12.10.15</w:t>
            </w:r>
          </w:p>
        </w:tc>
      </w:tr>
      <w:tr w:rsidR="00BE7C62" w:rsidTr="000C4D7D">
        <w:trPr>
          <w:trHeight w:val="318"/>
        </w:trPr>
        <w:tc>
          <w:tcPr>
            <w:tcW w:w="1416" w:type="dxa"/>
          </w:tcPr>
          <w:p w:rsidR="00BE7C62" w:rsidRDefault="00BE7C62" w:rsidP="00BE7C62">
            <w:pPr>
              <w:pStyle w:val="TableParagraph"/>
              <w:spacing w:before="44" w:line="240" w:lineRule="auto"/>
              <w:ind w:left="113"/>
            </w:pPr>
            <w:r>
              <w:t>2</w:t>
            </w:r>
          </w:p>
        </w:tc>
        <w:tc>
          <w:tcPr>
            <w:tcW w:w="2103" w:type="dxa"/>
          </w:tcPr>
          <w:p w:rsidR="00BE7C62" w:rsidRDefault="00BE7C62" w:rsidP="00BE7C62">
            <w:pPr>
              <w:pStyle w:val="TableParagraph"/>
              <w:spacing w:before="61" w:line="238" w:lineRule="exact"/>
              <w:ind w:left="57"/>
            </w:pPr>
            <w:r>
              <w:t>Date change</w:t>
            </w:r>
          </w:p>
        </w:tc>
        <w:tc>
          <w:tcPr>
            <w:tcW w:w="876" w:type="dxa"/>
          </w:tcPr>
          <w:p w:rsidR="00BE7C62" w:rsidRDefault="00BE7C62" w:rsidP="00BE7C62">
            <w:pPr>
              <w:pStyle w:val="TableParagraph"/>
              <w:spacing w:before="11" w:line="240" w:lineRule="auto"/>
              <w:ind w:left="57"/>
            </w:pPr>
            <w:r>
              <w:t>21.6.18</w:t>
            </w:r>
          </w:p>
        </w:tc>
        <w:tc>
          <w:tcPr>
            <w:tcW w:w="4820" w:type="dxa"/>
          </w:tcPr>
          <w:p w:rsidR="00BE7C62" w:rsidRDefault="00BE7C62" w:rsidP="00BE7C62">
            <w:pPr>
              <w:pStyle w:val="TableParagraph"/>
              <w:spacing w:before="44" w:line="240" w:lineRule="auto"/>
              <w:ind w:left="57"/>
            </w:pPr>
            <w:r>
              <w:t>Review date changed to June 2019</w:t>
            </w:r>
          </w:p>
        </w:tc>
      </w:tr>
      <w:tr w:rsidR="00BE7C62" w:rsidTr="000C4D7D">
        <w:trPr>
          <w:trHeight w:val="316"/>
        </w:trPr>
        <w:tc>
          <w:tcPr>
            <w:tcW w:w="1416" w:type="dxa"/>
          </w:tcPr>
          <w:p w:rsidR="00BE7C62" w:rsidRDefault="00BE7C62" w:rsidP="00BE7C62">
            <w:pPr>
              <w:pStyle w:val="TableParagraph"/>
              <w:spacing w:line="249" w:lineRule="exact"/>
              <w:ind w:left="113"/>
            </w:pPr>
            <w:r>
              <w:t>3</w:t>
            </w:r>
          </w:p>
        </w:tc>
        <w:tc>
          <w:tcPr>
            <w:tcW w:w="2103" w:type="dxa"/>
          </w:tcPr>
          <w:p w:rsidR="00BE7C62" w:rsidRDefault="00BE7C62" w:rsidP="00BE7C62">
            <w:pPr>
              <w:pStyle w:val="TableParagraph"/>
              <w:spacing w:line="240" w:lineRule="exact"/>
              <w:ind w:left="57"/>
            </w:pPr>
            <w:r>
              <w:t>Date change</w:t>
            </w:r>
          </w:p>
        </w:tc>
        <w:tc>
          <w:tcPr>
            <w:tcW w:w="876" w:type="dxa"/>
          </w:tcPr>
          <w:p w:rsidR="00BE7C62" w:rsidRDefault="00BE7C62" w:rsidP="00BE7C62">
            <w:pPr>
              <w:pStyle w:val="TableParagraph"/>
              <w:spacing w:before="28" w:line="240" w:lineRule="auto"/>
              <w:ind w:left="57"/>
            </w:pPr>
            <w:r>
              <w:t>17.9.19</w:t>
            </w:r>
          </w:p>
        </w:tc>
        <w:tc>
          <w:tcPr>
            <w:tcW w:w="4820" w:type="dxa"/>
          </w:tcPr>
          <w:p w:rsidR="00BE7C62" w:rsidRDefault="00BE7C62" w:rsidP="00BE7C62">
            <w:pPr>
              <w:pStyle w:val="TableParagraph"/>
              <w:spacing w:before="29" w:line="240" w:lineRule="auto"/>
              <w:ind w:left="57"/>
            </w:pPr>
            <w:r>
              <w:t>Review date changed to September 2020</w:t>
            </w:r>
          </w:p>
        </w:tc>
      </w:tr>
      <w:tr w:rsidR="00BE7C62" w:rsidTr="000C4D7D">
        <w:trPr>
          <w:trHeight w:val="316"/>
        </w:trPr>
        <w:tc>
          <w:tcPr>
            <w:tcW w:w="1416" w:type="dxa"/>
          </w:tcPr>
          <w:p w:rsidR="00BE7C62" w:rsidRDefault="00BE7C62" w:rsidP="00BE7C62">
            <w:pPr>
              <w:pStyle w:val="TableParagraph"/>
              <w:spacing w:line="249" w:lineRule="exact"/>
              <w:ind w:left="113"/>
            </w:pPr>
            <w:r>
              <w:t>4</w:t>
            </w:r>
          </w:p>
        </w:tc>
        <w:tc>
          <w:tcPr>
            <w:tcW w:w="2103" w:type="dxa"/>
          </w:tcPr>
          <w:p w:rsidR="00BE7C62" w:rsidRDefault="00BE7C62" w:rsidP="00BE7C62">
            <w:pPr>
              <w:pStyle w:val="TableParagraph"/>
              <w:spacing w:line="240" w:lineRule="exact"/>
              <w:ind w:left="57"/>
            </w:pPr>
            <w:r>
              <w:t>Date &amp; wording</w:t>
            </w:r>
          </w:p>
        </w:tc>
        <w:tc>
          <w:tcPr>
            <w:tcW w:w="876" w:type="dxa"/>
          </w:tcPr>
          <w:p w:rsidR="00BE7C62" w:rsidRDefault="00BE7C62" w:rsidP="00BE7C62">
            <w:pPr>
              <w:pStyle w:val="TableParagraph"/>
              <w:spacing w:before="28" w:line="240" w:lineRule="auto"/>
              <w:ind w:left="57"/>
            </w:pPr>
            <w:r>
              <w:t>11.6.20</w:t>
            </w:r>
          </w:p>
        </w:tc>
        <w:tc>
          <w:tcPr>
            <w:tcW w:w="4820" w:type="dxa"/>
          </w:tcPr>
          <w:p w:rsidR="00BE7C62" w:rsidRDefault="00BE7C62" w:rsidP="00AF2737">
            <w:pPr>
              <w:pStyle w:val="TableParagraph"/>
              <w:spacing w:before="29" w:line="240" w:lineRule="auto"/>
              <w:ind w:left="57"/>
            </w:pPr>
            <w:r>
              <w:t xml:space="preserve">Review date changed to </w:t>
            </w:r>
            <w:r w:rsidR="00AF2737">
              <w:t>July 2022</w:t>
            </w:r>
            <w:bookmarkStart w:id="0" w:name="_GoBack"/>
            <w:bookmarkEnd w:id="0"/>
            <w:r>
              <w:t xml:space="preserve"> and Plain English Summary updated.</w:t>
            </w:r>
          </w:p>
        </w:tc>
      </w:tr>
    </w:tbl>
    <w:p w:rsidR="00FE6AC4" w:rsidRDefault="00FE6AC4">
      <w:pPr>
        <w:spacing w:line="252" w:lineRule="exact"/>
        <w:sectPr w:rsidR="00FE6AC4">
          <w:headerReference w:type="default" r:id="rId10"/>
          <w:footerReference w:type="default" r:id="rId11"/>
          <w:type w:val="continuous"/>
          <w:pgSz w:w="11920" w:h="16850"/>
          <w:pgMar w:top="1680" w:right="1220" w:bottom="1180" w:left="1200" w:header="252" w:footer="991" w:gutter="0"/>
          <w:pgNumType w:start="1"/>
          <w:cols w:space="720"/>
        </w:sectPr>
      </w:pPr>
    </w:p>
    <w:p w:rsidR="0020469C" w:rsidRDefault="0020469C" w:rsidP="00BE7C62">
      <w:pPr>
        <w:spacing w:before="7" w:after="45"/>
      </w:pPr>
    </w:p>
    <w:sectPr w:rsidR="0020469C">
      <w:pgSz w:w="11920" w:h="16850"/>
      <w:pgMar w:top="1700" w:right="1220" w:bottom="1180" w:left="1200" w:header="252" w:footer="9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69C" w:rsidRDefault="00BE7C62">
      <w:r>
        <w:separator/>
      </w:r>
    </w:p>
  </w:endnote>
  <w:endnote w:type="continuationSeparator" w:id="0">
    <w:p w:rsidR="0020469C" w:rsidRDefault="00BE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C4" w:rsidRDefault="00BE7C62">
    <w:pPr>
      <w:pStyle w:val="BodyText"/>
      <w:spacing w:line="14" w:lineRule="auto"/>
      <w:rPr>
        <w:sz w:val="20"/>
      </w:rPr>
    </w:pPr>
    <w:r>
      <w:rPr>
        <w:noProof/>
        <w:lang w:bidi="ar-SA"/>
      </w:rPr>
      <mc:AlternateContent>
        <mc:Choice Requires="wps">
          <w:drawing>
            <wp:anchor distT="0" distB="0" distL="114300" distR="114300" simplePos="0" relativeHeight="503310200" behindDoc="1" locked="0" layoutInCell="1" allowOverlap="1">
              <wp:simplePos x="0" y="0"/>
              <wp:positionH relativeFrom="page">
                <wp:posOffset>3721100</wp:posOffset>
              </wp:positionH>
              <wp:positionV relativeFrom="page">
                <wp:posOffset>9925050</wp:posOffset>
              </wp:positionV>
              <wp:extent cx="12192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AC4" w:rsidRDefault="00BE7C62">
                          <w:pPr>
                            <w:pStyle w:val="BodyText"/>
                            <w:spacing w:line="245" w:lineRule="exact"/>
                            <w:ind w:left="40"/>
                            <w:rPr>
                              <w:rFonts w:ascii="Calibri"/>
                            </w:rPr>
                          </w:pPr>
                          <w:r>
                            <w:fldChar w:fldCharType="begin"/>
                          </w:r>
                          <w:r>
                            <w:rPr>
                              <w:rFonts w:ascii="Calibri"/>
                            </w:rPr>
                            <w:instrText xml:space="preserve"> PAGE </w:instrText>
                          </w:r>
                          <w:r>
                            <w:fldChar w:fldCharType="separate"/>
                          </w:r>
                          <w:r w:rsidR="00AF2737">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93pt;margin-top:781.5pt;width:9.6pt;height:13.05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z7CrgIAAK8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" filled="f" stroked="f">
              <v:textbox inset="0,0,0,0">
                <w:txbxContent>
                  <w:p w:rsidR="00FE6AC4" w:rsidRDefault="00BE7C62">
                    <w:pPr>
                      <w:pStyle w:val="BodyText"/>
                      <w:spacing w:line="245" w:lineRule="exact"/>
                      <w:ind w:left="40"/>
                      <w:rPr>
                        <w:rFonts w:ascii="Calibri"/>
                      </w:rPr>
                    </w:pPr>
                    <w:r>
                      <w:fldChar w:fldCharType="begin"/>
                    </w:r>
                    <w:r>
                      <w:rPr>
                        <w:rFonts w:ascii="Calibri"/>
                      </w:rPr>
                      <w:instrText xml:space="preserve"> PAGE </w:instrText>
                    </w:r>
                    <w:r>
                      <w:fldChar w:fldCharType="separate"/>
                    </w:r>
                    <w:r w:rsidR="00AF2737">
                      <w:rPr>
                        <w:rFonts w:ascii="Calibri"/>
                        <w:noProof/>
                      </w:rPr>
                      <w:t>2</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10224" behindDoc="1" locked="0" layoutInCell="1" allowOverlap="1">
              <wp:simplePos x="0" y="0"/>
              <wp:positionH relativeFrom="page">
                <wp:posOffset>6512560</wp:posOffset>
              </wp:positionH>
              <wp:positionV relativeFrom="page">
                <wp:posOffset>10222230</wp:posOffset>
              </wp:positionV>
              <wp:extent cx="149860" cy="139065"/>
              <wp:effectExtent l="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AC4" w:rsidRDefault="00BE7C62">
                          <w:pPr>
                            <w:spacing w:before="14"/>
                            <w:ind w:left="20"/>
                            <w:rPr>
                              <w:sz w:val="16"/>
                            </w:rPr>
                          </w:pPr>
                          <w:r>
                            <w:rPr>
                              <w:sz w:val="16"/>
                            </w:rPr>
                            <w:t>V4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512.8pt;margin-top:804.9pt;width:11.8pt;height:10.95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SwrQIAAK8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" filled="f" stroked="f">
              <v:textbox inset="0,0,0,0">
                <w:txbxContent>
                  <w:p w:rsidR="00FE6AC4" w:rsidRDefault="00BE7C62">
                    <w:pPr>
                      <w:spacing w:before="14"/>
                      <w:ind w:left="20"/>
                      <w:rPr>
                        <w:sz w:val="16"/>
                      </w:rPr>
                    </w:pPr>
                    <w:r>
                      <w:rPr>
                        <w:sz w:val="16"/>
                      </w:rPr>
                      <w:t>V4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69C" w:rsidRDefault="00BE7C62">
      <w:r>
        <w:separator/>
      </w:r>
    </w:p>
  </w:footnote>
  <w:footnote w:type="continuationSeparator" w:id="0">
    <w:p w:rsidR="0020469C" w:rsidRDefault="00BE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AC4" w:rsidRDefault="00BE7C62">
    <w:pPr>
      <w:pStyle w:val="BodyText"/>
      <w:spacing w:line="14" w:lineRule="auto"/>
      <w:rPr>
        <w:sz w:val="20"/>
      </w:rPr>
    </w:pPr>
    <w:r>
      <w:rPr>
        <w:noProof/>
        <w:lang w:bidi="ar-SA"/>
      </w:rPr>
      <mc:AlternateContent>
        <mc:Choice Requires="wps">
          <w:drawing>
            <wp:anchor distT="0" distB="0" distL="114300" distR="114300" simplePos="0" relativeHeight="503310152" behindDoc="1" locked="0" layoutInCell="1" allowOverlap="1">
              <wp:simplePos x="0" y="0"/>
              <wp:positionH relativeFrom="page">
                <wp:posOffset>281305</wp:posOffset>
              </wp:positionH>
              <wp:positionV relativeFrom="page">
                <wp:posOffset>165100</wp:posOffset>
              </wp:positionV>
              <wp:extent cx="2638425" cy="904875"/>
              <wp:effectExtent l="5080" t="12700" r="13970"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904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15pt;margin-top:13pt;width:207.75pt;height:71.25pt;z-index:-6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" filled="f">
              <w10:wrap anchorx="page" anchory="page"/>
            </v:rect>
          </w:pict>
        </mc:Fallback>
      </mc:AlternateContent>
    </w:r>
    <w:r>
      <w:rPr>
        <w:noProof/>
        <w:lang w:bidi="ar-SA"/>
      </w:rPr>
      <mc:AlternateContent>
        <mc:Choice Requires="wps">
          <w:drawing>
            <wp:anchor distT="0" distB="0" distL="114300" distR="114300" simplePos="0" relativeHeight="503310176" behindDoc="1" locked="0" layoutInCell="1" allowOverlap="1">
              <wp:simplePos x="0" y="0"/>
              <wp:positionH relativeFrom="page">
                <wp:posOffset>365125</wp:posOffset>
              </wp:positionH>
              <wp:positionV relativeFrom="page">
                <wp:posOffset>227965</wp:posOffset>
              </wp:positionV>
              <wp:extent cx="1930400" cy="752475"/>
              <wp:effectExtent l="3175"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AC4" w:rsidRDefault="00BE7C62">
                          <w:pPr>
                            <w:spacing w:line="245" w:lineRule="exact"/>
                            <w:ind w:left="20"/>
                            <w:rPr>
                              <w:rFonts w:ascii="Calibri"/>
                              <w:b/>
                            </w:rPr>
                          </w:pPr>
                          <w:r>
                            <w:rPr>
                              <w:rFonts w:ascii="Calibri"/>
                              <w:b/>
                            </w:rPr>
                            <w:t>Policy Category:</w:t>
                          </w:r>
                        </w:p>
                        <w:p w:rsidR="00FE6AC4" w:rsidRDefault="00BE7C62">
                          <w:pPr>
                            <w:spacing w:before="36"/>
                            <w:ind w:left="20"/>
                            <w:rPr>
                              <w:rFonts w:ascii="Calibri"/>
                              <w:b/>
                              <w:i/>
                            </w:rPr>
                          </w:pPr>
                          <w:r>
                            <w:rPr>
                              <w:rFonts w:ascii="Calibri"/>
                              <w:b/>
                              <w:i/>
                              <w:color w:val="FF0000"/>
                            </w:rPr>
                            <w:t>CBA</w:t>
                          </w:r>
                        </w:p>
                        <w:p w:rsidR="00FE6AC4" w:rsidRDefault="00BE7C62">
                          <w:pPr>
                            <w:spacing w:before="41" w:line="276" w:lineRule="auto"/>
                            <w:ind w:left="20" w:right="1"/>
                            <w:rPr>
                              <w:rFonts w:ascii="Calibri"/>
                              <w:b/>
                            </w:rPr>
                          </w:pPr>
                          <w:r>
                            <w:rPr>
                              <w:rFonts w:ascii="Calibri"/>
                              <w:b/>
                            </w:rPr>
                            <w:t xml:space="preserve">Who usually applies for funding? </w:t>
                          </w:r>
                          <w:r>
                            <w:rPr>
                              <w:rFonts w:ascii="Calibri"/>
                              <w:b/>
                              <w:color w:val="FF0000"/>
                            </w:rPr>
                            <w:t>Not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8.75pt;margin-top:17.95pt;width:152pt;height:59.2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1K9rA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" filled="f" stroked="f">
              <v:textbox inset="0,0,0,0">
                <w:txbxContent>
                  <w:p w:rsidR="00FE6AC4" w:rsidRDefault="00BE7C62">
                    <w:pPr>
                      <w:spacing w:line="245" w:lineRule="exact"/>
                      <w:ind w:left="20"/>
                      <w:rPr>
                        <w:rFonts w:ascii="Calibri"/>
                        <w:b/>
                      </w:rPr>
                    </w:pPr>
                    <w:r>
                      <w:rPr>
                        <w:rFonts w:ascii="Calibri"/>
                        <w:b/>
                      </w:rPr>
                      <w:t>Policy Category:</w:t>
                    </w:r>
                  </w:p>
                  <w:p w:rsidR="00FE6AC4" w:rsidRDefault="00BE7C62">
                    <w:pPr>
                      <w:spacing w:before="36"/>
                      <w:ind w:left="20"/>
                      <w:rPr>
                        <w:rFonts w:ascii="Calibri"/>
                        <w:b/>
                        <w:i/>
                      </w:rPr>
                    </w:pPr>
                    <w:r>
                      <w:rPr>
                        <w:rFonts w:ascii="Calibri"/>
                        <w:b/>
                        <w:i/>
                        <w:color w:val="FF0000"/>
                      </w:rPr>
                      <w:t>CBA</w:t>
                    </w:r>
                  </w:p>
                  <w:p w:rsidR="00FE6AC4" w:rsidRDefault="00BE7C62">
                    <w:pPr>
                      <w:spacing w:before="41" w:line="276" w:lineRule="auto"/>
                      <w:ind w:left="20" w:right="1"/>
                      <w:rPr>
                        <w:rFonts w:ascii="Calibri"/>
                        <w:b/>
                      </w:rPr>
                    </w:pPr>
                    <w:r>
                      <w:rPr>
                        <w:rFonts w:ascii="Calibri"/>
                        <w:b/>
                      </w:rPr>
                      <w:t xml:space="preserve">Who usually applies for funding? </w:t>
                    </w:r>
                    <w:r>
                      <w:rPr>
                        <w:rFonts w:ascii="Calibri"/>
                        <w:b/>
                        <w:color w:val="FF0000"/>
                      </w:rPr>
                      <w:t>Not applicable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2543F"/>
    <w:multiLevelType w:val="hybridMultilevel"/>
    <w:tmpl w:val="802E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AB4C89"/>
    <w:multiLevelType w:val="hybridMultilevel"/>
    <w:tmpl w:val="B08C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C4"/>
    <w:rsid w:val="0020469C"/>
    <w:rsid w:val="00AF2737"/>
    <w:rsid w:val="00BE7C62"/>
    <w:rsid w:val="00FE6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40"/>
      <w:outlineLvl w:val="0"/>
    </w:pPr>
    <w:rPr>
      <w:b/>
      <w:bCs/>
      <w:sz w:val="24"/>
      <w:szCs w:val="24"/>
    </w:rPr>
  </w:style>
  <w:style w:type="paragraph" w:styleId="Heading2">
    <w:name w:val="heading 2"/>
    <w:basedOn w:val="Normal"/>
    <w:uiPriority w:val="1"/>
    <w:qFormat/>
    <w:pPr>
      <w:ind w:left="2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34" w:lineRule="exact"/>
      <w:ind w:left="107"/>
    </w:pPr>
  </w:style>
  <w:style w:type="character" w:styleId="Strong">
    <w:name w:val="Strong"/>
    <w:basedOn w:val="DefaultParagraphFont"/>
    <w:uiPriority w:val="22"/>
    <w:qFormat/>
    <w:rsid w:val="00BE7C62"/>
    <w:rPr>
      <w:b/>
      <w:bCs/>
    </w:rPr>
  </w:style>
  <w:style w:type="paragraph" w:styleId="Header">
    <w:name w:val="header"/>
    <w:basedOn w:val="Normal"/>
    <w:link w:val="HeaderChar"/>
    <w:uiPriority w:val="99"/>
    <w:unhideWhenUsed/>
    <w:rsid w:val="00BE7C62"/>
    <w:pPr>
      <w:tabs>
        <w:tab w:val="center" w:pos="4513"/>
        <w:tab w:val="right" w:pos="9026"/>
      </w:tabs>
    </w:pPr>
  </w:style>
  <w:style w:type="character" w:customStyle="1" w:styleId="HeaderChar">
    <w:name w:val="Header Char"/>
    <w:basedOn w:val="DefaultParagraphFont"/>
    <w:link w:val="Header"/>
    <w:uiPriority w:val="99"/>
    <w:rsid w:val="00BE7C62"/>
    <w:rPr>
      <w:rFonts w:ascii="Arial" w:eastAsia="Arial" w:hAnsi="Arial" w:cs="Arial"/>
      <w:lang w:val="en-GB" w:eastAsia="en-GB" w:bidi="en-GB"/>
    </w:rPr>
  </w:style>
  <w:style w:type="paragraph" w:styleId="Footer">
    <w:name w:val="footer"/>
    <w:basedOn w:val="Normal"/>
    <w:link w:val="FooterChar"/>
    <w:uiPriority w:val="99"/>
    <w:unhideWhenUsed/>
    <w:rsid w:val="00BE7C62"/>
    <w:pPr>
      <w:tabs>
        <w:tab w:val="center" w:pos="4513"/>
        <w:tab w:val="right" w:pos="9026"/>
      </w:tabs>
    </w:pPr>
  </w:style>
  <w:style w:type="character" w:customStyle="1" w:styleId="FooterChar">
    <w:name w:val="Footer Char"/>
    <w:basedOn w:val="DefaultParagraphFont"/>
    <w:link w:val="Footer"/>
    <w:uiPriority w:val="99"/>
    <w:rsid w:val="00BE7C62"/>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40"/>
      <w:outlineLvl w:val="0"/>
    </w:pPr>
    <w:rPr>
      <w:b/>
      <w:bCs/>
      <w:sz w:val="24"/>
      <w:szCs w:val="24"/>
    </w:rPr>
  </w:style>
  <w:style w:type="paragraph" w:styleId="Heading2">
    <w:name w:val="heading 2"/>
    <w:basedOn w:val="Normal"/>
    <w:uiPriority w:val="1"/>
    <w:qFormat/>
    <w:pPr>
      <w:ind w:left="2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spacing w:line="234" w:lineRule="exact"/>
      <w:ind w:left="107"/>
    </w:pPr>
  </w:style>
  <w:style w:type="character" w:styleId="Strong">
    <w:name w:val="Strong"/>
    <w:basedOn w:val="DefaultParagraphFont"/>
    <w:uiPriority w:val="22"/>
    <w:qFormat/>
    <w:rsid w:val="00BE7C62"/>
    <w:rPr>
      <w:b/>
      <w:bCs/>
    </w:rPr>
  </w:style>
  <w:style w:type="paragraph" w:styleId="Header">
    <w:name w:val="header"/>
    <w:basedOn w:val="Normal"/>
    <w:link w:val="HeaderChar"/>
    <w:uiPriority w:val="99"/>
    <w:unhideWhenUsed/>
    <w:rsid w:val="00BE7C62"/>
    <w:pPr>
      <w:tabs>
        <w:tab w:val="center" w:pos="4513"/>
        <w:tab w:val="right" w:pos="9026"/>
      </w:tabs>
    </w:pPr>
  </w:style>
  <w:style w:type="character" w:customStyle="1" w:styleId="HeaderChar">
    <w:name w:val="Header Char"/>
    <w:basedOn w:val="DefaultParagraphFont"/>
    <w:link w:val="Header"/>
    <w:uiPriority w:val="99"/>
    <w:rsid w:val="00BE7C62"/>
    <w:rPr>
      <w:rFonts w:ascii="Arial" w:eastAsia="Arial" w:hAnsi="Arial" w:cs="Arial"/>
      <w:lang w:val="en-GB" w:eastAsia="en-GB" w:bidi="en-GB"/>
    </w:rPr>
  </w:style>
  <w:style w:type="paragraph" w:styleId="Footer">
    <w:name w:val="footer"/>
    <w:basedOn w:val="Normal"/>
    <w:link w:val="FooterChar"/>
    <w:uiPriority w:val="99"/>
    <w:unhideWhenUsed/>
    <w:rsid w:val="00BE7C62"/>
    <w:pPr>
      <w:tabs>
        <w:tab w:val="center" w:pos="4513"/>
        <w:tab w:val="right" w:pos="9026"/>
      </w:tabs>
    </w:pPr>
  </w:style>
  <w:style w:type="character" w:customStyle="1" w:styleId="FooterChar">
    <w:name w:val="Footer Char"/>
    <w:basedOn w:val="DefaultParagraphFont"/>
    <w:link w:val="Footer"/>
    <w:uiPriority w:val="99"/>
    <w:rsid w:val="00BE7C62"/>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CCG.IF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2</cp:revision>
  <dcterms:created xsi:type="dcterms:W3CDTF">2020-08-19T09:43:00Z</dcterms:created>
  <dcterms:modified xsi:type="dcterms:W3CDTF">2020-08-19T09:43:00Z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2018-03-27T00:00:00Z</vt:filetime>
  </property>
  <property fmtid="{D5CDD505-2E9C-101B-9397-08002B2CF9AE}" pid="3" name="Creator">
    <vt:lpwstr>Microsoft® Word 2010</vt:lpwstr>
  </property>
  <property fmtid="{D5CDD505-2E9C-101B-9397-08002B2CF9AE}" pid="4" name="LastSaved">
    <vt:filetime>2020-07-28T00:00:00Z</vt:filetime>
  </property>
</Properties>
</file>