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39" w:rsidRDefault="006B6F09">
      <w:pPr>
        <w:pStyle w:val="BodyText"/>
        <w:rPr>
          <w:rFonts w:ascii="Times New Roman"/>
          <w:sz w:val="20"/>
        </w:rPr>
      </w:pPr>
      <w:r>
        <w:rPr>
          <w:noProof/>
          <w:lang w:bidi="ar-SA"/>
        </w:rPr>
        <w:drawing>
          <wp:anchor distT="0" distB="0" distL="0" distR="0" simplePos="0" relativeHeight="251655680" behindDoc="0" locked="0" layoutInCell="1" allowOverlap="1">
            <wp:simplePos x="0" y="0"/>
            <wp:positionH relativeFrom="page">
              <wp:posOffset>4625147</wp:posOffset>
            </wp:positionH>
            <wp:positionV relativeFrom="page">
              <wp:posOffset>220345</wp:posOffset>
            </wp:positionV>
            <wp:extent cx="2560269" cy="6641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0269" cy="664147"/>
                    </a:xfrm>
                    <a:prstGeom prst="rect">
                      <a:avLst/>
                    </a:prstGeom>
                  </pic:spPr>
                </pic:pic>
              </a:graphicData>
            </a:graphic>
          </wp:anchor>
        </w:drawing>
      </w:r>
    </w:p>
    <w:p w:rsidR="00354C39" w:rsidRDefault="00354C39">
      <w:pPr>
        <w:pStyle w:val="BodyText"/>
        <w:spacing w:before="4"/>
        <w:rPr>
          <w:rFonts w:ascii="Times New Roman"/>
          <w:sz w:val="18"/>
        </w:rPr>
      </w:pPr>
    </w:p>
    <w:p w:rsidR="00354C39" w:rsidRDefault="006B6F09">
      <w:pPr>
        <w:pStyle w:val="Heading1"/>
        <w:spacing w:before="92"/>
        <w:ind w:left="2465"/>
      </w:pPr>
      <w:r>
        <w:t xml:space="preserve">Bevacizumab for </w:t>
      </w:r>
      <w:proofErr w:type="spellStart"/>
      <w:r>
        <w:t>neovascular</w:t>
      </w:r>
      <w:proofErr w:type="spellEnd"/>
      <w:r>
        <w:t xml:space="preserve"> glaucoma</w:t>
      </w:r>
    </w:p>
    <w:p w:rsidR="00354C39" w:rsidRDefault="00354C39">
      <w:pPr>
        <w:pStyle w:val="BodyText"/>
        <w:rPr>
          <w:b/>
          <w:sz w:val="20"/>
        </w:rPr>
      </w:pPr>
    </w:p>
    <w:p w:rsidR="00354C39" w:rsidRDefault="00354C39">
      <w:pPr>
        <w:pStyle w:val="BodyText"/>
        <w:spacing w:before="8"/>
        <w:rPr>
          <w:b/>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354C39">
        <w:trPr>
          <w:trHeight w:val="758"/>
        </w:trPr>
        <w:tc>
          <w:tcPr>
            <w:tcW w:w="2093" w:type="dxa"/>
            <w:shd w:val="clear" w:color="auto" w:fill="D9D9D9"/>
          </w:tcPr>
          <w:p w:rsidR="00354C39" w:rsidRDefault="006B6F09">
            <w:pPr>
              <w:pStyle w:val="TableParagraph"/>
              <w:spacing w:line="240" w:lineRule="auto"/>
              <w:ind w:right="155"/>
              <w:rPr>
                <w:b/>
                <w:sz w:val="24"/>
              </w:rPr>
            </w:pPr>
            <w:r>
              <w:rPr>
                <w:b/>
                <w:sz w:val="24"/>
              </w:rPr>
              <w:t>Commissioning decision</w:t>
            </w:r>
          </w:p>
        </w:tc>
        <w:tc>
          <w:tcPr>
            <w:tcW w:w="7151" w:type="dxa"/>
          </w:tcPr>
          <w:p w:rsidR="00354C39" w:rsidRDefault="006B6F09">
            <w:pPr>
              <w:pStyle w:val="TableParagraph"/>
              <w:spacing w:line="248" w:lineRule="exact"/>
              <w:rPr>
                <w:b/>
              </w:rPr>
            </w:pPr>
            <w:r>
              <w:rPr>
                <w:b/>
              </w:rPr>
              <w:t xml:space="preserve">The CCG will provide funding for Bevacizumab for </w:t>
            </w:r>
            <w:proofErr w:type="spellStart"/>
            <w:r>
              <w:rPr>
                <w:b/>
              </w:rPr>
              <w:t>neovascular</w:t>
            </w:r>
            <w:proofErr w:type="spellEnd"/>
          </w:p>
          <w:p w:rsidR="00354C39" w:rsidRDefault="006B6F09">
            <w:pPr>
              <w:pStyle w:val="TableParagraph"/>
              <w:spacing w:before="6" w:line="252" w:lineRule="exact"/>
              <w:rPr>
                <w:b/>
              </w:rPr>
            </w:pPr>
            <w:proofErr w:type="gramStart"/>
            <w:r>
              <w:rPr>
                <w:b/>
              </w:rPr>
              <w:t>glaucoma</w:t>
            </w:r>
            <w:proofErr w:type="gramEnd"/>
            <w:r>
              <w:rPr>
                <w:b/>
              </w:rPr>
              <w:t xml:space="preserve"> for patients who meet the criteria defined within this policy.</w:t>
            </w:r>
          </w:p>
        </w:tc>
      </w:tr>
    </w:tbl>
    <w:p w:rsidR="00354C39" w:rsidRDefault="00354C39">
      <w:pPr>
        <w:pStyle w:val="BodyText"/>
        <w:spacing w:before="11"/>
        <w:rPr>
          <w:b/>
          <w:sz w:val="26"/>
        </w:rPr>
      </w:pPr>
    </w:p>
    <w:p w:rsidR="00354C39" w:rsidRDefault="006B6F09">
      <w:pPr>
        <w:ind w:left="240"/>
        <w:rPr>
          <w:b/>
          <w:sz w:val="24"/>
        </w:rPr>
      </w:pPr>
      <w:r>
        <w:rPr>
          <w:noProof/>
          <w:lang w:bidi="ar-SA"/>
        </w:rPr>
        <mc:AlternateContent>
          <mc:Choice Requires="wps">
            <w:drawing>
              <wp:anchor distT="0" distB="0" distL="0" distR="0" simplePos="0" relativeHeight="251656704" behindDoc="1" locked="0" layoutInCell="1" allowOverlap="1">
                <wp:simplePos x="0" y="0"/>
                <wp:positionH relativeFrom="page">
                  <wp:posOffset>845820</wp:posOffset>
                </wp:positionH>
                <wp:positionV relativeFrom="paragraph">
                  <wp:posOffset>210185</wp:posOffset>
                </wp:positionV>
                <wp:extent cx="5869940" cy="2751455"/>
                <wp:effectExtent l="7620" t="10795" r="8890" b="952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7514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4C39" w:rsidRDefault="006B6F09">
                            <w:pPr>
                              <w:spacing w:line="246" w:lineRule="exact"/>
                              <w:ind w:left="103"/>
                              <w:rPr>
                                <w:b/>
                              </w:rPr>
                            </w:pPr>
                            <w:r>
                              <w:rPr>
                                <w:b/>
                              </w:rPr>
                              <w:t>Qualifying for Treatment</w:t>
                            </w:r>
                          </w:p>
                          <w:p w:rsidR="00354C39" w:rsidRDefault="00354C39">
                            <w:pPr>
                              <w:pStyle w:val="BodyText"/>
                              <w:spacing w:before="2"/>
                              <w:rPr>
                                <w:b/>
                              </w:rPr>
                            </w:pPr>
                          </w:p>
                          <w:p w:rsidR="00354C39" w:rsidRDefault="006B6F09">
                            <w:pPr>
                              <w:pStyle w:val="BodyText"/>
                              <w:numPr>
                                <w:ilvl w:val="0"/>
                                <w:numId w:val="1"/>
                              </w:numPr>
                              <w:tabs>
                                <w:tab w:val="left" w:pos="421"/>
                              </w:tabs>
                              <w:spacing w:before="1"/>
                              <w:ind w:right="260" w:firstLine="0"/>
                            </w:pPr>
                            <w:r>
                              <w:t xml:space="preserve">The CCG commissions single dose intravitreal bevacizumab as adjuvant therapy in the management of </w:t>
                            </w:r>
                            <w:proofErr w:type="spellStart"/>
                            <w:r>
                              <w:t>neovascular</w:t>
                            </w:r>
                            <w:proofErr w:type="spellEnd"/>
                            <w:r>
                              <w:t xml:space="preserve"> glaucoma due to ischaemic central retinal vein occlusion. This aims to facilitate definitive treatment with pan-retinal</w:t>
                            </w:r>
                            <w:r>
                              <w:rPr>
                                <w:spacing w:val="-32"/>
                              </w:rPr>
                              <w:t xml:space="preserve"> </w:t>
                            </w:r>
                            <w:r>
                              <w:t>photocoagulation.</w:t>
                            </w:r>
                          </w:p>
                          <w:p w:rsidR="00354C39" w:rsidRDefault="00354C39">
                            <w:pPr>
                              <w:pStyle w:val="BodyText"/>
                              <w:spacing w:before="8"/>
                              <w:rPr>
                                <w:b/>
                                <w:sz w:val="21"/>
                              </w:rPr>
                            </w:pPr>
                          </w:p>
                          <w:p w:rsidR="00354C39" w:rsidRDefault="006B6F09">
                            <w:pPr>
                              <w:ind w:left="103"/>
                              <w:rPr>
                                <w:b/>
                              </w:rPr>
                            </w:pPr>
                            <w:r>
                              <w:rPr>
                                <w:b/>
                              </w:rPr>
                              <w:t>Further Restrictions and Requirements</w:t>
                            </w:r>
                          </w:p>
                          <w:p w:rsidR="00354C39" w:rsidRDefault="00354C39">
                            <w:pPr>
                              <w:pStyle w:val="BodyText"/>
                              <w:spacing w:before="5"/>
                              <w:rPr>
                                <w:b/>
                              </w:rPr>
                            </w:pPr>
                          </w:p>
                          <w:p w:rsidR="00354C39" w:rsidRDefault="006B6F09">
                            <w:pPr>
                              <w:pStyle w:val="BodyText"/>
                              <w:numPr>
                                <w:ilvl w:val="0"/>
                                <w:numId w:val="1"/>
                              </w:numPr>
                              <w:tabs>
                                <w:tab w:val="left" w:pos="423"/>
                              </w:tabs>
                              <w:ind w:right="532" w:firstLine="0"/>
                            </w:pPr>
                            <w:r>
                              <w:t>All patients treated within this policy will be included in prospective departmental audit. Audit will include criteria reflecting anticipated benefits (including reduction in laser treatments required per patient) and adverse events (ocular and</w:t>
                            </w:r>
                            <w:r>
                              <w:rPr>
                                <w:spacing w:val="-49"/>
                              </w:rPr>
                              <w:t xml:space="preserve"> </w:t>
                            </w:r>
                            <w:r>
                              <w:t>systemic).</w:t>
                            </w:r>
                          </w:p>
                          <w:p w:rsidR="00354C39" w:rsidRDefault="00354C39">
                            <w:pPr>
                              <w:pStyle w:val="BodyText"/>
                              <w:spacing w:before="10"/>
                              <w:rPr>
                                <w:b/>
                                <w:sz w:val="21"/>
                              </w:rPr>
                            </w:pPr>
                          </w:p>
                          <w:p w:rsidR="00354C39" w:rsidRDefault="006B6F09">
                            <w:pPr>
                              <w:numPr>
                                <w:ilvl w:val="0"/>
                                <w:numId w:val="1"/>
                              </w:numPr>
                              <w:tabs>
                                <w:tab w:val="left" w:pos="421"/>
                              </w:tabs>
                              <w:spacing w:line="242" w:lineRule="auto"/>
                              <w:ind w:right="345" w:firstLine="0"/>
                            </w:pPr>
                            <w:r>
                              <w:t>The prescribing clinician must meet the governance requirements for using drugs off- label (</w:t>
                            </w:r>
                            <w:hyperlink r:id="rId9">
                              <w:r>
                                <w:rPr>
                                  <w:i/>
                                  <w:u w:val="single"/>
                                </w:rPr>
                                <w:t>http://www.gmc-uk.org/guidance/ethical_guidance/prescriptions_faqs.asp</w:t>
                              </w:r>
                              <w:r>
                                <w:rPr>
                                  <w:i/>
                                </w:rPr>
                                <w:t xml:space="preserve"> </w:t>
                              </w:r>
                            </w:hyperlink>
                            <w:r>
                              <w:t>) including obtaining informed consent from the patient and understands that responsibility for prescribing</w:t>
                            </w:r>
                            <w:r>
                              <w:rPr>
                                <w:spacing w:val="-1"/>
                              </w:rPr>
                              <w:t xml:space="preserve"> </w:t>
                            </w:r>
                            <w:r>
                              <w:t>drugs</w:t>
                            </w:r>
                            <w:r>
                              <w:rPr>
                                <w:spacing w:val="-1"/>
                              </w:rPr>
                              <w:t xml:space="preserve"> </w:t>
                            </w:r>
                            <w:r>
                              <w:t>outside</w:t>
                            </w:r>
                            <w:r>
                              <w:rPr>
                                <w:spacing w:val="-2"/>
                              </w:rPr>
                              <w:t xml:space="preserve"> </w:t>
                            </w:r>
                            <w:r>
                              <w:t>the</w:t>
                            </w:r>
                            <w:r>
                              <w:rPr>
                                <w:spacing w:val="-5"/>
                              </w:rPr>
                              <w:t xml:space="preserve"> </w:t>
                            </w:r>
                            <w:r>
                              <w:t>terms</w:t>
                            </w:r>
                            <w:r>
                              <w:rPr>
                                <w:spacing w:val="-4"/>
                              </w:rPr>
                              <w:t xml:space="preserve"> </w:t>
                            </w:r>
                            <w:r>
                              <w:t>of</w:t>
                            </w:r>
                            <w:r>
                              <w:rPr>
                                <w:spacing w:val="-3"/>
                              </w:rPr>
                              <w:t xml:space="preserve"> </w:t>
                            </w:r>
                            <w:r>
                              <w:t>the</w:t>
                            </w:r>
                            <w:r>
                              <w:rPr>
                                <w:spacing w:val="-2"/>
                              </w:rPr>
                              <w:t xml:space="preserve"> </w:t>
                            </w:r>
                            <w:r>
                              <w:t>product</w:t>
                            </w:r>
                            <w:r>
                              <w:rPr>
                                <w:spacing w:val="-1"/>
                              </w:rPr>
                              <w:t xml:space="preserve"> </w:t>
                            </w:r>
                            <w:r>
                              <w:t>licence</w:t>
                            </w:r>
                            <w:r>
                              <w:rPr>
                                <w:spacing w:val="-4"/>
                              </w:rPr>
                              <w:t xml:space="preserve"> </w:t>
                            </w:r>
                            <w:r>
                              <w:t>remains</w:t>
                            </w:r>
                            <w:r>
                              <w:rPr>
                                <w:spacing w:val="-4"/>
                              </w:rPr>
                              <w:t xml:space="preserve"> </w:t>
                            </w:r>
                            <w:r>
                              <w:t>with</w:t>
                            </w:r>
                            <w:r>
                              <w:rPr>
                                <w:spacing w:val="-2"/>
                              </w:rPr>
                              <w:t xml:space="preserve"> </w:t>
                            </w:r>
                            <w:r>
                              <w:t>the</w:t>
                            </w:r>
                            <w:r>
                              <w:rPr>
                                <w:spacing w:val="-24"/>
                              </w:rPr>
                              <w:t xml:space="preserve"> </w:t>
                            </w:r>
                            <w:r>
                              <w:t>prescriber.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6pt;margin-top:16.55pt;width:462.2pt;height:216.6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L9hQIAABk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" filled="f" strokeweight=".48pt">
                <v:textbox inset="0,0,0,0">
                  <w:txbxContent>
                    <w:p w:rsidR="00354C39" w:rsidRDefault="006B6F09">
                      <w:pPr>
                        <w:spacing w:line="246" w:lineRule="exact"/>
                        <w:ind w:left="103"/>
                        <w:rPr>
                          <w:b/>
                        </w:rPr>
                      </w:pPr>
                      <w:r>
                        <w:rPr>
                          <w:b/>
                        </w:rPr>
                        <w:t>Qualifying for Treatment</w:t>
                      </w:r>
                    </w:p>
                    <w:p w:rsidR="00354C39" w:rsidRDefault="00354C39">
                      <w:pPr>
                        <w:pStyle w:val="BodyText"/>
                        <w:spacing w:before="2"/>
                        <w:rPr>
                          <w:b/>
                        </w:rPr>
                      </w:pPr>
                    </w:p>
                    <w:p w:rsidR="00354C39" w:rsidRDefault="006B6F09">
                      <w:pPr>
                        <w:pStyle w:val="BodyText"/>
                        <w:numPr>
                          <w:ilvl w:val="0"/>
                          <w:numId w:val="1"/>
                        </w:numPr>
                        <w:tabs>
                          <w:tab w:val="left" w:pos="421"/>
                        </w:tabs>
                        <w:spacing w:before="1"/>
                        <w:ind w:right="260" w:firstLine="0"/>
                      </w:pPr>
                      <w:r>
                        <w:t>The CCG commissions single dose intravitreal bevacizumab as adjuvant therapy in the management of neovascular glaucoma due to ischaemic central retinal vein occlusion. This aims to facilitate definitive treatment with pan-retinal</w:t>
                      </w:r>
                      <w:r>
                        <w:rPr>
                          <w:spacing w:val="-32"/>
                        </w:rPr>
                        <w:t xml:space="preserve"> </w:t>
                      </w:r>
                      <w:r>
                        <w:t>photocoagulation.</w:t>
                      </w:r>
                    </w:p>
                    <w:p w:rsidR="00354C39" w:rsidRDefault="00354C39">
                      <w:pPr>
                        <w:pStyle w:val="BodyText"/>
                        <w:spacing w:before="8"/>
                        <w:rPr>
                          <w:b/>
                          <w:sz w:val="21"/>
                        </w:rPr>
                      </w:pPr>
                    </w:p>
                    <w:p w:rsidR="00354C39" w:rsidRDefault="006B6F09">
                      <w:pPr>
                        <w:ind w:left="103"/>
                        <w:rPr>
                          <w:b/>
                        </w:rPr>
                      </w:pPr>
                      <w:r>
                        <w:rPr>
                          <w:b/>
                        </w:rPr>
                        <w:t>Further</w:t>
                      </w:r>
                      <w:r>
                        <w:rPr>
                          <w:b/>
                        </w:rPr>
                        <w:t xml:space="preserve"> Restrictions and Requirements</w:t>
                      </w:r>
                    </w:p>
                    <w:p w:rsidR="00354C39" w:rsidRDefault="00354C39">
                      <w:pPr>
                        <w:pStyle w:val="BodyText"/>
                        <w:spacing w:before="5"/>
                        <w:rPr>
                          <w:b/>
                        </w:rPr>
                      </w:pPr>
                    </w:p>
                    <w:p w:rsidR="00354C39" w:rsidRDefault="006B6F09">
                      <w:pPr>
                        <w:pStyle w:val="BodyText"/>
                        <w:numPr>
                          <w:ilvl w:val="0"/>
                          <w:numId w:val="1"/>
                        </w:numPr>
                        <w:tabs>
                          <w:tab w:val="left" w:pos="423"/>
                        </w:tabs>
                        <w:ind w:right="532" w:firstLine="0"/>
                      </w:pPr>
                      <w:r>
                        <w:t>All patients treated within this policy will be included in prospective departmental audit. Audit will include criteria reflecting anticipated benefits (including reduction in laser treatments required per patient) and adver</w:t>
                      </w:r>
                      <w:r>
                        <w:t>se events (ocular and</w:t>
                      </w:r>
                      <w:r>
                        <w:rPr>
                          <w:spacing w:val="-49"/>
                        </w:rPr>
                        <w:t xml:space="preserve"> </w:t>
                      </w:r>
                      <w:r>
                        <w:t>systemic).</w:t>
                      </w:r>
                    </w:p>
                    <w:p w:rsidR="00354C39" w:rsidRDefault="00354C39">
                      <w:pPr>
                        <w:pStyle w:val="BodyText"/>
                        <w:spacing w:before="10"/>
                        <w:rPr>
                          <w:b/>
                          <w:sz w:val="21"/>
                        </w:rPr>
                      </w:pPr>
                    </w:p>
                    <w:p w:rsidR="00354C39" w:rsidRDefault="006B6F09">
                      <w:pPr>
                        <w:numPr>
                          <w:ilvl w:val="0"/>
                          <w:numId w:val="1"/>
                        </w:numPr>
                        <w:tabs>
                          <w:tab w:val="left" w:pos="421"/>
                        </w:tabs>
                        <w:spacing w:line="242" w:lineRule="auto"/>
                        <w:ind w:right="345" w:firstLine="0"/>
                      </w:pPr>
                      <w:r>
                        <w:t>The prescribing clinician must meet the governance requirements for using drugs off- label (</w:t>
                      </w:r>
                      <w:hyperlink r:id="rId10">
                        <w:r>
                          <w:rPr>
                            <w:i/>
                            <w:u w:val="single"/>
                          </w:rPr>
                          <w:t>http://www.gmc-uk.org/guidance/ethical_g</w:t>
                        </w:r>
                        <w:r>
                          <w:rPr>
                            <w:i/>
                            <w:u w:val="single"/>
                          </w:rPr>
                          <w:t>uidance/prescriptions_faqs.asp</w:t>
                        </w:r>
                        <w:r>
                          <w:rPr>
                            <w:i/>
                          </w:rPr>
                          <w:t xml:space="preserve"> </w:t>
                        </w:r>
                      </w:hyperlink>
                      <w:r>
                        <w:t>) including obtaining informed consent from the patient and understands that responsibility for prescribing</w:t>
                      </w:r>
                      <w:r>
                        <w:rPr>
                          <w:spacing w:val="-1"/>
                        </w:rPr>
                        <w:t xml:space="preserve"> </w:t>
                      </w:r>
                      <w:r>
                        <w:t>drugs</w:t>
                      </w:r>
                      <w:r>
                        <w:rPr>
                          <w:spacing w:val="-1"/>
                        </w:rPr>
                        <w:t xml:space="preserve"> </w:t>
                      </w:r>
                      <w:r>
                        <w:t>outside</w:t>
                      </w:r>
                      <w:r>
                        <w:rPr>
                          <w:spacing w:val="-2"/>
                        </w:rPr>
                        <w:t xml:space="preserve"> </w:t>
                      </w:r>
                      <w:r>
                        <w:t>the</w:t>
                      </w:r>
                      <w:r>
                        <w:rPr>
                          <w:spacing w:val="-5"/>
                        </w:rPr>
                        <w:t xml:space="preserve"> </w:t>
                      </w:r>
                      <w:r>
                        <w:t>terms</w:t>
                      </w:r>
                      <w:r>
                        <w:rPr>
                          <w:spacing w:val="-4"/>
                        </w:rPr>
                        <w:t xml:space="preserve"> </w:t>
                      </w:r>
                      <w:r>
                        <w:t>of</w:t>
                      </w:r>
                      <w:r>
                        <w:rPr>
                          <w:spacing w:val="-3"/>
                        </w:rPr>
                        <w:t xml:space="preserve"> </w:t>
                      </w:r>
                      <w:r>
                        <w:t>the</w:t>
                      </w:r>
                      <w:r>
                        <w:rPr>
                          <w:spacing w:val="-2"/>
                        </w:rPr>
                        <w:t xml:space="preserve"> </w:t>
                      </w:r>
                      <w:r>
                        <w:t>product</w:t>
                      </w:r>
                      <w:r>
                        <w:rPr>
                          <w:spacing w:val="-1"/>
                        </w:rPr>
                        <w:t xml:space="preserve"> </w:t>
                      </w:r>
                      <w:r>
                        <w:t>licence</w:t>
                      </w:r>
                      <w:r>
                        <w:rPr>
                          <w:spacing w:val="-4"/>
                        </w:rPr>
                        <w:t xml:space="preserve"> </w:t>
                      </w:r>
                      <w:r>
                        <w:t>remains</w:t>
                      </w:r>
                      <w:r>
                        <w:rPr>
                          <w:spacing w:val="-4"/>
                        </w:rPr>
                        <w:t xml:space="preserve"> </w:t>
                      </w:r>
                      <w:r>
                        <w:t>with</w:t>
                      </w:r>
                      <w:r>
                        <w:rPr>
                          <w:spacing w:val="-2"/>
                        </w:rPr>
                        <w:t xml:space="preserve"> </w:t>
                      </w:r>
                      <w:r>
                        <w:t>the</w:t>
                      </w:r>
                      <w:r>
                        <w:rPr>
                          <w:spacing w:val="-24"/>
                        </w:rPr>
                        <w:t xml:space="preserve"> </w:t>
                      </w:r>
                      <w:r>
                        <w:t>prescriber.</w:t>
                      </w:r>
                    </w:p>
                  </w:txbxContent>
                </v:textbox>
                <w10:wrap type="topAndBottom" anchorx="page"/>
              </v:shape>
            </w:pict>
          </mc:Fallback>
        </mc:AlternateContent>
      </w:r>
      <w:r>
        <w:rPr>
          <w:b/>
          <w:sz w:val="24"/>
        </w:rPr>
        <w:t>Policy Statement:</w:t>
      </w:r>
    </w:p>
    <w:p w:rsidR="00354C39" w:rsidRDefault="00354C39">
      <w:pPr>
        <w:pStyle w:val="BodyText"/>
        <w:spacing w:before="9"/>
        <w:rPr>
          <w:b/>
          <w:sz w:val="23"/>
        </w:rPr>
      </w:pPr>
    </w:p>
    <w:p w:rsidR="00354C39" w:rsidRDefault="006B6F09">
      <w:pPr>
        <w:ind w:left="240"/>
        <w:rPr>
          <w:b/>
          <w:sz w:val="24"/>
        </w:rPr>
      </w:pPr>
      <w:r>
        <w:rPr>
          <w:noProof/>
          <w:lang w:bidi="ar-SA"/>
        </w:rPr>
        <mc:AlternateContent>
          <mc:Choice Requires="wps">
            <w:drawing>
              <wp:anchor distT="0" distB="0" distL="0" distR="0" simplePos="0" relativeHeight="251657728" behindDoc="1" locked="0" layoutInCell="1" allowOverlap="1">
                <wp:simplePos x="0" y="0"/>
                <wp:positionH relativeFrom="page">
                  <wp:posOffset>845820</wp:posOffset>
                </wp:positionH>
                <wp:positionV relativeFrom="paragraph">
                  <wp:posOffset>206375</wp:posOffset>
                </wp:positionV>
                <wp:extent cx="5869940" cy="686435"/>
                <wp:effectExtent l="7620" t="8255" r="8890" b="1016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86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4C39" w:rsidRDefault="006B6F09">
                            <w:pPr>
                              <w:spacing w:before="1" w:line="237" w:lineRule="auto"/>
                              <w:ind w:left="103"/>
                              <w:rPr>
                                <w:sz w:val="23"/>
                              </w:rPr>
                            </w:pPr>
                            <w:r>
                              <w:rPr>
                                <w:sz w:val="23"/>
                              </w:rPr>
                              <w:t xml:space="preserve">Bevacizumab is not licensed for any ophthalmic indications. There is some limited evidence of its efficacy in treating </w:t>
                            </w:r>
                            <w:proofErr w:type="spellStart"/>
                            <w:r>
                              <w:rPr>
                                <w:sz w:val="23"/>
                              </w:rPr>
                              <w:t>neovascular</w:t>
                            </w:r>
                            <w:proofErr w:type="spellEnd"/>
                            <w:r>
                              <w:rPr>
                                <w:sz w:val="23"/>
                              </w:rPr>
                              <w:t xml:space="preserve"> glaucoma. Treatment is restricted to patients who meet the criteria set out in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6pt;margin-top:16.25pt;width:462.2pt;height:5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" filled="f" strokeweight=".48pt">
                <v:textbox inset="0,0,0,0">
                  <w:txbxContent>
                    <w:p w:rsidR="00354C39" w:rsidRDefault="006B6F09">
                      <w:pPr>
                        <w:spacing w:before="1" w:line="237" w:lineRule="auto"/>
                        <w:ind w:left="103"/>
                        <w:rPr>
                          <w:sz w:val="23"/>
                        </w:rPr>
                      </w:pPr>
                      <w:r>
                        <w:rPr>
                          <w:sz w:val="23"/>
                        </w:rPr>
                        <w:t>Bevacizumab is not licensed for any ophthalmic indications. There is some limited evidence of its efficacy in treating neovascular glaucoma. Treatment is restricted to patients who meet the criteria set out in this policy</w:t>
                      </w:r>
                    </w:p>
                  </w:txbxContent>
                </v:textbox>
                <w10:wrap type="topAndBottom" anchorx="page"/>
              </v:shape>
            </w:pict>
          </mc:Fallback>
        </mc:AlternateContent>
      </w:r>
      <w:r>
        <w:rPr>
          <w:b/>
          <w:sz w:val="24"/>
        </w:rPr>
        <w:t>Rationale:</w:t>
      </w:r>
    </w:p>
    <w:p w:rsidR="00354C39" w:rsidRDefault="00354C39">
      <w:pPr>
        <w:pStyle w:val="BodyText"/>
        <w:spacing w:before="2"/>
        <w:rPr>
          <w:b/>
          <w:sz w:val="23"/>
        </w:rPr>
      </w:pPr>
    </w:p>
    <w:p w:rsidR="00354C39" w:rsidRDefault="006B6F09">
      <w:pPr>
        <w:ind w:left="240"/>
        <w:rPr>
          <w:b/>
          <w:sz w:val="24"/>
        </w:rPr>
      </w:pPr>
      <w:r>
        <w:rPr>
          <w:noProof/>
          <w:lang w:bidi="ar-SA"/>
        </w:rPr>
        <mc:AlternateContent>
          <mc:Choice Requires="wps">
            <w:drawing>
              <wp:anchor distT="0" distB="0" distL="0" distR="0" simplePos="0" relativeHeight="251658752" behindDoc="1" locked="0" layoutInCell="1" allowOverlap="1">
                <wp:simplePos x="0" y="0"/>
                <wp:positionH relativeFrom="page">
                  <wp:posOffset>845820</wp:posOffset>
                </wp:positionH>
                <wp:positionV relativeFrom="paragraph">
                  <wp:posOffset>207010</wp:posOffset>
                </wp:positionV>
                <wp:extent cx="5869940" cy="2817495"/>
                <wp:effectExtent l="7620" t="13970" r="8890" b="698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817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342" w:rsidRPr="00E00E30" w:rsidRDefault="00B96342" w:rsidP="00B96342">
                            <w:pPr>
                              <w:ind w:left="57"/>
                              <w:rPr>
                                <w:b/>
                              </w:rPr>
                            </w:pPr>
                            <w:r w:rsidRPr="00E00E30">
                              <w:rPr>
                                <w:b/>
                              </w:rPr>
                              <w:t xml:space="preserve">What is </w:t>
                            </w:r>
                            <w:proofErr w:type="spellStart"/>
                            <w:r w:rsidRPr="00E00E30">
                              <w:rPr>
                                <w:b/>
                              </w:rPr>
                              <w:t>neovascular</w:t>
                            </w:r>
                            <w:proofErr w:type="spellEnd"/>
                            <w:r w:rsidRPr="00E00E30">
                              <w:rPr>
                                <w:b/>
                              </w:rPr>
                              <w:t xml:space="preserve"> </w:t>
                            </w:r>
                            <w:proofErr w:type="gramStart"/>
                            <w:r w:rsidRPr="00E00E30">
                              <w:rPr>
                                <w:b/>
                              </w:rPr>
                              <w:t>glaucoma</w:t>
                            </w:r>
                            <w:proofErr w:type="gramEnd"/>
                          </w:p>
                          <w:p w:rsidR="00B96342" w:rsidRPr="00E00E30" w:rsidRDefault="00B96342" w:rsidP="00B96342">
                            <w:pPr>
                              <w:ind w:left="57"/>
                            </w:pPr>
                            <w:proofErr w:type="spellStart"/>
                            <w:r w:rsidRPr="00E00E30">
                              <w:t>Neovasc</w:t>
                            </w:r>
                            <w:r>
                              <w:t>ular</w:t>
                            </w:r>
                            <w:proofErr w:type="spellEnd"/>
                            <w:r>
                              <w:t xml:space="preserve"> glaucoma is a type of glau</w:t>
                            </w:r>
                            <w:r w:rsidRPr="00E00E30">
                              <w:t xml:space="preserve">coma that </w:t>
                            </w:r>
                            <w:r>
                              <w:t>presents a severe threat to vision</w:t>
                            </w:r>
                            <w:r w:rsidRPr="00E00E30">
                              <w:t>. It is classified as a secondary glaucoma as it is caused by other health conditions.</w:t>
                            </w:r>
                          </w:p>
                          <w:p w:rsidR="00B96342" w:rsidRPr="00E00E30" w:rsidRDefault="00B96342" w:rsidP="00B96342">
                            <w:pPr>
                              <w:ind w:left="57"/>
                            </w:pPr>
                          </w:p>
                          <w:p w:rsidR="00B96342" w:rsidRPr="00E00E30" w:rsidRDefault="00B96342" w:rsidP="00B96342">
                            <w:pPr>
                              <w:ind w:left="57"/>
                              <w:rPr>
                                <w:b/>
                              </w:rPr>
                            </w:pPr>
                            <w:r w:rsidRPr="00E00E30">
                              <w:rPr>
                                <w:b/>
                              </w:rPr>
                              <w:t>What is Bevacizumab (</w:t>
                            </w:r>
                            <w:proofErr w:type="spellStart"/>
                            <w:proofErr w:type="gramStart"/>
                            <w:r w:rsidRPr="00E00E30">
                              <w:rPr>
                                <w:b/>
                              </w:rPr>
                              <w:t>Avastin</w:t>
                            </w:r>
                            <w:proofErr w:type="spellEnd"/>
                            <w:proofErr w:type="gramEnd"/>
                            <w:r w:rsidRPr="00E00E30">
                              <w:rPr>
                                <w:b/>
                              </w:rPr>
                              <w:t>)</w:t>
                            </w:r>
                          </w:p>
                          <w:p w:rsidR="00B96342" w:rsidRPr="003A79F7" w:rsidRDefault="00B96342" w:rsidP="00B96342">
                            <w:pPr>
                              <w:ind w:left="57"/>
                            </w:pPr>
                            <w:r w:rsidRPr="00E00E30">
                              <w:t xml:space="preserve">Bevacizumab is a drug that blocks a substance called vascular endothelial growth factor (VEGF) which stimulates the growth of new blood vessels in the eye. </w:t>
                            </w:r>
                            <w:r>
                              <w:t>This is produced when the retina is starved of oxygen.</w:t>
                            </w:r>
                          </w:p>
                          <w:p w:rsidR="00B96342" w:rsidRPr="00E00E30" w:rsidRDefault="00B96342" w:rsidP="00B96342">
                            <w:pPr>
                              <w:ind w:left="57"/>
                            </w:pPr>
                          </w:p>
                          <w:p w:rsidR="00B96342" w:rsidRPr="00E00E30" w:rsidRDefault="00B96342" w:rsidP="00B96342">
                            <w:pPr>
                              <w:ind w:left="57"/>
                            </w:pPr>
                          </w:p>
                          <w:p w:rsidR="00B96342" w:rsidRPr="00E00E30" w:rsidRDefault="00B96342" w:rsidP="00B96342">
                            <w:pPr>
                              <w:ind w:left="57"/>
                              <w:rPr>
                                <w:b/>
                              </w:rPr>
                            </w:pPr>
                            <w:r w:rsidRPr="00E00E30">
                              <w:rPr>
                                <w:b/>
                              </w:rPr>
                              <w:t>What does the policy mean for me?</w:t>
                            </w:r>
                          </w:p>
                          <w:p w:rsidR="00B96342" w:rsidRPr="00E00E30" w:rsidRDefault="00B96342" w:rsidP="00B96342">
                            <w:pPr>
                              <w:ind w:left="57"/>
                            </w:pPr>
                            <w:r w:rsidRPr="00E00E30">
                              <w:t xml:space="preserve">Bevacizumab is not licenced in the UK for treating </w:t>
                            </w:r>
                            <w:proofErr w:type="spellStart"/>
                            <w:r>
                              <w:t>neovascular</w:t>
                            </w:r>
                            <w:proofErr w:type="spellEnd"/>
                            <w:r>
                              <w:t xml:space="preserve"> glaucoma</w:t>
                            </w:r>
                            <w:r w:rsidRPr="00E00E30">
                              <w:t>. However, there is som</w:t>
                            </w:r>
                            <w:r>
                              <w:t xml:space="preserve">e evidence to show that is it can add value alongside other definitive treatments for </w:t>
                            </w:r>
                            <w:proofErr w:type="spellStart"/>
                            <w:r>
                              <w:t>neovascular</w:t>
                            </w:r>
                            <w:proofErr w:type="spellEnd"/>
                            <w:r>
                              <w:t xml:space="preserve"> glaucoma. T</w:t>
                            </w:r>
                            <w:r w:rsidRPr="00E00E30">
                              <w:t>herefore</w:t>
                            </w:r>
                            <w:r>
                              <w:t>,</w:t>
                            </w:r>
                            <w:r w:rsidRPr="00E00E30">
                              <w:t xml:space="preserve"> it is sometimes made avail</w:t>
                            </w:r>
                            <w:r>
                              <w:t>able to patients through the NHS</w:t>
                            </w:r>
                            <w:r w:rsidRPr="00E00E30">
                              <w:t>. This policy sets out the clinical criteria that a patient needs to meet in order to access this treatment. If your doctor believes that you meet the criteria set out in the policy the treatment would be funded by the NHS.</w:t>
                            </w:r>
                          </w:p>
                          <w:p w:rsidR="00354C39" w:rsidRDefault="00354C39">
                            <w:pPr>
                              <w:pStyle w:val="BodyText"/>
                              <w:ind w:left="103" w:right="31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6.6pt;margin-top:16.3pt;width:462.2pt;height:221.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J6iAIAACA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" filled="f" strokeweight=".48pt">
                <v:textbox inset="0,0,0,0">
                  <w:txbxContent>
                    <w:p w:rsidR="00B96342" w:rsidRPr="00E00E30" w:rsidRDefault="00B96342" w:rsidP="00B96342">
                      <w:pPr>
                        <w:ind w:left="57"/>
                        <w:rPr>
                          <w:b/>
                        </w:rPr>
                      </w:pPr>
                      <w:r w:rsidRPr="00E00E30">
                        <w:rPr>
                          <w:b/>
                        </w:rPr>
                        <w:t>What is neovascular glaucoma</w:t>
                      </w:r>
                    </w:p>
                    <w:p w:rsidR="00B96342" w:rsidRPr="00E00E30" w:rsidRDefault="00B96342" w:rsidP="00B96342">
                      <w:pPr>
                        <w:ind w:left="57"/>
                      </w:pPr>
                      <w:r w:rsidRPr="00E00E30">
                        <w:t>Neovasc</w:t>
                      </w:r>
                      <w:r>
                        <w:t>ular glaucoma is a type of glau</w:t>
                      </w:r>
                      <w:r w:rsidRPr="00E00E30">
                        <w:t xml:space="preserve">coma that </w:t>
                      </w:r>
                      <w:r>
                        <w:t>presents a severe threat to vision</w:t>
                      </w:r>
                      <w:r w:rsidRPr="00E00E30">
                        <w:t>. It is classified as a secondary glaucoma as it is caused by other health conditions.</w:t>
                      </w:r>
                    </w:p>
                    <w:p w:rsidR="00B96342" w:rsidRPr="00E00E30" w:rsidRDefault="00B96342" w:rsidP="00B96342">
                      <w:pPr>
                        <w:ind w:left="57"/>
                      </w:pPr>
                    </w:p>
                    <w:p w:rsidR="00B96342" w:rsidRPr="00E00E30" w:rsidRDefault="00B96342" w:rsidP="00B96342">
                      <w:pPr>
                        <w:ind w:left="57"/>
                        <w:rPr>
                          <w:b/>
                        </w:rPr>
                      </w:pPr>
                      <w:r w:rsidRPr="00E00E30">
                        <w:rPr>
                          <w:b/>
                        </w:rPr>
                        <w:t>What is Bevacizumab (Avastin)</w:t>
                      </w:r>
                    </w:p>
                    <w:p w:rsidR="00B96342" w:rsidRPr="003A79F7" w:rsidRDefault="00B96342" w:rsidP="00B96342">
                      <w:pPr>
                        <w:ind w:left="57"/>
                      </w:pPr>
                      <w:r w:rsidRPr="00E00E30">
                        <w:t xml:space="preserve">Bevacizumab is a drug that blocks a substance called vascular endothelial growth factor (VEGF) which stimulates the growth of new blood vessels in the eye. </w:t>
                      </w:r>
                      <w:r>
                        <w:t>This is produced when the retina is starved of oxygen.</w:t>
                      </w:r>
                    </w:p>
                    <w:p w:rsidR="00B96342" w:rsidRPr="00E00E30" w:rsidRDefault="00B96342" w:rsidP="00B96342">
                      <w:pPr>
                        <w:ind w:left="57"/>
                      </w:pPr>
                    </w:p>
                    <w:p w:rsidR="00B96342" w:rsidRPr="00E00E30" w:rsidRDefault="00B96342" w:rsidP="00B96342">
                      <w:pPr>
                        <w:ind w:left="57"/>
                      </w:pPr>
                    </w:p>
                    <w:p w:rsidR="00B96342" w:rsidRPr="00E00E30" w:rsidRDefault="00B96342" w:rsidP="00B96342">
                      <w:pPr>
                        <w:ind w:left="57"/>
                        <w:rPr>
                          <w:b/>
                        </w:rPr>
                      </w:pPr>
                      <w:r w:rsidRPr="00E00E30">
                        <w:rPr>
                          <w:b/>
                        </w:rPr>
                        <w:t>What does the policy mean for me?</w:t>
                      </w:r>
                    </w:p>
                    <w:p w:rsidR="00B96342" w:rsidRPr="00E00E30" w:rsidRDefault="00B96342" w:rsidP="00B96342">
                      <w:pPr>
                        <w:ind w:left="57"/>
                      </w:pPr>
                      <w:r w:rsidRPr="00E00E30">
                        <w:t xml:space="preserve">Bevacizumab is not licenced in the UK for treating </w:t>
                      </w:r>
                      <w:r>
                        <w:t>neovascular glaucoma</w:t>
                      </w:r>
                      <w:r w:rsidRPr="00E00E30">
                        <w:t>. However, there is som</w:t>
                      </w:r>
                      <w:r>
                        <w:t>e evidence to show that is it can add value alongside other definitive treatments for neovascular glaucoma. T</w:t>
                      </w:r>
                      <w:r w:rsidRPr="00E00E30">
                        <w:t>herefore</w:t>
                      </w:r>
                      <w:r>
                        <w:t>,</w:t>
                      </w:r>
                      <w:r w:rsidRPr="00E00E30">
                        <w:t xml:space="preserve"> it is sometimes made avail</w:t>
                      </w:r>
                      <w:r>
                        <w:t>able to patients through the NHS</w:t>
                      </w:r>
                      <w:r w:rsidRPr="00E00E30">
                        <w:t>. This policy sets out the clinical criteria that a patient needs to meet in order to access this treatment. If your doctor believes that you meet the criteria set out in the policy the treatment would be funded by the NHS.</w:t>
                      </w:r>
                    </w:p>
                    <w:p w:rsidR="00354C39" w:rsidRDefault="00354C39">
                      <w:pPr>
                        <w:pStyle w:val="BodyText"/>
                        <w:ind w:left="103" w:right="319"/>
                      </w:pPr>
                    </w:p>
                  </w:txbxContent>
                </v:textbox>
                <w10:wrap type="topAndBottom" anchorx="page"/>
              </v:shape>
            </w:pict>
          </mc:Fallback>
        </mc:AlternateContent>
      </w:r>
      <w:r>
        <w:rPr>
          <w:b/>
          <w:sz w:val="24"/>
        </w:rPr>
        <w:t>Plain English Summary:</w:t>
      </w:r>
    </w:p>
    <w:p w:rsidR="00354C39" w:rsidRDefault="00354C39">
      <w:pPr>
        <w:pStyle w:val="BodyText"/>
        <w:spacing w:before="7"/>
        <w:rPr>
          <w:b/>
        </w:rPr>
      </w:pPr>
    </w:p>
    <w:p w:rsidR="00B96342" w:rsidRDefault="00B96342">
      <w:pPr>
        <w:pStyle w:val="BodyText"/>
        <w:spacing w:before="7"/>
        <w:rPr>
          <w:b/>
        </w:rPr>
      </w:pPr>
    </w:p>
    <w:p w:rsidR="00B96342" w:rsidRDefault="006B6F09">
      <w:pPr>
        <w:pStyle w:val="BodyText"/>
        <w:spacing w:before="7"/>
        <w:rPr>
          <w:b/>
        </w:rPr>
      </w:pPr>
      <w:r>
        <w:rPr>
          <w:noProof/>
          <w:lang w:bidi="ar-SA"/>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87630</wp:posOffset>
                </wp:positionV>
                <wp:extent cx="5979160" cy="2401570"/>
                <wp:effectExtent l="12700" t="13335" r="889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2401570"/>
                        </a:xfrm>
                        <a:prstGeom prst="rect">
                          <a:avLst/>
                        </a:prstGeom>
                        <a:solidFill>
                          <a:srgbClr val="FFFFFF"/>
                        </a:solidFill>
                        <a:ln w="9525">
                          <a:solidFill>
                            <a:srgbClr val="000000"/>
                          </a:solidFill>
                          <a:miter lim="800000"/>
                          <a:headEnd/>
                          <a:tailEnd/>
                        </a:ln>
                      </wps:spPr>
                      <wps:txbx>
                        <w:txbxContent>
                          <w:p w:rsidR="00B96342" w:rsidRPr="00C938F7" w:rsidRDefault="00B96342" w:rsidP="00B96342">
                            <w:pPr>
                              <w:rPr>
                                <w:b/>
                              </w:rPr>
                            </w:pPr>
                            <w:r w:rsidRPr="00E00E30">
                              <w:rPr>
                                <w:b/>
                              </w:rPr>
                              <w:t>Glossary of clinical terms contained within the policy</w:t>
                            </w:r>
                          </w:p>
                          <w:p w:rsidR="00B96342" w:rsidRPr="00C938F7" w:rsidRDefault="00B96342" w:rsidP="00B96342">
                            <w:pPr>
                              <w:pStyle w:val="ListParagraph"/>
                              <w:widowControl/>
                              <w:numPr>
                                <w:ilvl w:val="0"/>
                                <w:numId w:val="2"/>
                              </w:numPr>
                              <w:adjustRightInd w:val="0"/>
                              <w:spacing w:after="200" w:line="276" w:lineRule="auto"/>
                              <w:contextualSpacing/>
                              <w:rPr>
                                <w:rFonts w:cstheme="minorHAnsi"/>
                                <w:color w:val="000000"/>
                              </w:rPr>
                            </w:pPr>
                            <w:r w:rsidRPr="00C938F7">
                              <w:rPr>
                                <w:rFonts w:cstheme="minorHAnsi"/>
                                <w:b/>
                                <w:color w:val="000000"/>
                              </w:rPr>
                              <w:t>Ischaemic central retinal vein occlusion</w:t>
                            </w:r>
                            <w:r w:rsidRPr="00C938F7">
                              <w:rPr>
                                <w:rFonts w:cstheme="minorHAnsi"/>
                                <w:color w:val="000000"/>
                              </w:rPr>
                              <w:t xml:space="preserve"> </w:t>
                            </w:r>
                            <w:r>
                              <w:rPr>
                                <w:rFonts w:cstheme="minorHAnsi"/>
                                <w:color w:val="000000"/>
                              </w:rPr>
                              <w:t xml:space="preserve">- </w:t>
                            </w:r>
                            <w:r w:rsidRPr="001A1517">
                              <w:rPr>
                                <w:rFonts w:cstheme="minorHAnsi"/>
                                <w:lang w:val="en-US"/>
                              </w:rPr>
                              <w:t xml:space="preserve">Tiny blood vessels supply the retina with oxygen and other nutrients.  Arteries deliver the blood, and the retinal veins carry it out. Sometimes a vein can then become blocked, or occluded, making it difficult for blood to leave the eye. </w:t>
                            </w:r>
                            <w:r w:rsidRPr="001A1517">
                              <w:rPr>
                                <w:rFonts w:cstheme="minorHAnsi"/>
                                <w:lang w:val="en"/>
                              </w:rPr>
                              <w:t>Central retinal vein occlusion is due to blockage of the main retinal vein, which drains blood from the whole retina. The blockage causes blood and other fluids to leak into the retina, causing bruising and swelling as well as lack of oxygen. This interferes with the light receptor cells and reduces vision.</w:t>
                            </w:r>
                          </w:p>
                          <w:p w:rsidR="00B96342" w:rsidRPr="00C938F7" w:rsidRDefault="00B96342" w:rsidP="00B96342">
                            <w:pPr>
                              <w:pStyle w:val="ListParagraph"/>
                              <w:widowControl/>
                              <w:numPr>
                                <w:ilvl w:val="0"/>
                                <w:numId w:val="2"/>
                              </w:numPr>
                              <w:adjustRightInd w:val="0"/>
                              <w:spacing w:after="200" w:line="276" w:lineRule="auto"/>
                              <w:contextualSpacing/>
                              <w:rPr>
                                <w:rFonts w:cstheme="minorHAnsi"/>
                                <w:color w:val="000000"/>
                              </w:rPr>
                            </w:pPr>
                            <w:proofErr w:type="gramStart"/>
                            <w:r w:rsidRPr="00C938F7">
                              <w:rPr>
                                <w:rFonts w:cstheme="minorHAnsi"/>
                                <w:b/>
                                <w:color w:val="000000"/>
                              </w:rPr>
                              <w:t>pan-retinal</w:t>
                            </w:r>
                            <w:proofErr w:type="gramEnd"/>
                            <w:r w:rsidRPr="00C938F7">
                              <w:rPr>
                                <w:rFonts w:cstheme="minorHAnsi"/>
                                <w:b/>
                                <w:color w:val="000000"/>
                              </w:rPr>
                              <w:t xml:space="preserve"> photocoagulation</w:t>
                            </w:r>
                            <w:r>
                              <w:rPr>
                                <w:rFonts w:cstheme="minorHAnsi"/>
                                <w:color w:val="000000"/>
                              </w:rPr>
                              <w:t xml:space="preserve"> – </w:t>
                            </w:r>
                            <w:r w:rsidRPr="00C938F7">
                              <w:rPr>
                                <w:rFonts w:cstheme="minorHAnsi"/>
                                <w:bCs/>
                                <w:lang w:val="en"/>
                              </w:rPr>
                              <w:t xml:space="preserve">pan-retinal photocoagulation </w:t>
                            </w:r>
                            <w:r w:rsidRPr="00C938F7">
                              <w:rPr>
                                <w:rFonts w:cstheme="minorHAnsi"/>
                                <w:lang w:val="en"/>
                              </w:rPr>
                              <w:t xml:space="preserve">is a type of laser treatment for the eye. It is used in people who have developed new abnormal blood vessels at the back of the eye in the </w:t>
                            </w:r>
                            <w:r w:rsidRPr="00C938F7">
                              <w:rPr>
                                <w:rFonts w:cstheme="minorHAnsi"/>
                                <w:b/>
                                <w:bCs/>
                                <w:lang w:val="en"/>
                              </w:rPr>
                              <w:t>retina</w:t>
                            </w:r>
                            <w:r w:rsidRPr="00C938F7">
                              <w:rPr>
                                <w:rFonts w:cstheme="minorHAnsi"/>
                                <w:lang w:val="en"/>
                              </w:rPr>
                              <w:t xml:space="preserve"> or in the drainage system within the eyeball.</w:t>
                            </w:r>
                          </w:p>
                          <w:p w:rsidR="00B96342" w:rsidRDefault="00B96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5pt;margin-top:6.9pt;width:470.8pt;height:18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TeLQIAAFg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">
                <v:textbox>
                  <w:txbxContent>
                    <w:p w:rsidR="00B96342" w:rsidRPr="00C938F7" w:rsidRDefault="00B96342" w:rsidP="00B96342">
                      <w:pPr>
                        <w:rPr>
                          <w:b/>
                        </w:rPr>
                      </w:pPr>
                      <w:r w:rsidRPr="00E00E30">
                        <w:rPr>
                          <w:b/>
                        </w:rPr>
                        <w:t>Glossary of clinical terms contained within the policy</w:t>
                      </w:r>
                    </w:p>
                    <w:p w:rsidR="00B96342" w:rsidRPr="00C938F7" w:rsidRDefault="00B96342" w:rsidP="00B96342">
                      <w:pPr>
                        <w:pStyle w:val="ListParagraph"/>
                        <w:widowControl/>
                        <w:numPr>
                          <w:ilvl w:val="0"/>
                          <w:numId w:val="2"/>
                        </w:numPr>
                        <w:adjustRightInd w:val="0"/>
                        <w:spacing w:after="200" w:line="276" w:lineRule="auto"/>
                        <w:contextualSpacing/>
                        <w:rPr>
                          <w:rFonts w:cstheme="minorHAnsi"/>
                          <w:color w:val="000000"/>
                        </w:rPr>
                      </w:pPr>
                      <w:r w:rsidRPr="00C938F7">
                        <w:rPr>
                          <w:rFonts w:cstheme="minorHAnsi"/>
                          <w:b/>
                          <w:color w:val="000000"/>
                        </w:rPr>
                        <w:t>Ischaemic central retinal vein occlusion</w:t>
                      </w:r>
                      <w:r w:rsidRPr="00C938F7">
                        <w:rPr>
                          <w:rFonts w:cstheme="minorHAnsi"/>
                          <w:color w:val="000000"/>
                        </w:rPr>
                        <w:t xml:space="preserve"> </w:t>
                      </w:r>
                      <w:r>
                        <w:rPr>
                          <w:rFonts w:cstheme="minorHAnsi"/>
                          <w:color w:val="000000"/>
                        </w:rPr>
                        <w:t xml:space="preserve">- </w:t>
                      </w:r>
                      <w:r w:rsidRPr="001A1517">
                        <w:rPr>
                          <w:rFonts w:cstheme="minorHAnsi"/>
                          <w:lang w:val="en-US"/>
                        </w:rPr>
                        <w:t xml:space="preserve">Tiny blood vessels supply the retina with oxygen and other nutrients.  Arteries deliver the blood, and the retinal veins carry it out. Sometimes a vein can then become blocked, or occluded, making it difficult for blood to leave the eye. </w:t>
                      </w:r>
                      <w:r w:rsidRPr="001A1517">
                        <w:rPr>
                          <w:rFonts w:cstheme="minorHAnsi"/>
                          <w:lang w:val="en"/>
                        </w:rPr>
                        <w:t>Central retinal vein occlusion is due to blockage of the main retinal vein, which drains blood from the whole retina. The blockage causes blood and other fluids to leak into the retina, causing bruising and swelling as well as lack of oxygen. This interferes with the light receptor cells and reduces vision.</w:t>
                      </w:r>
                    </w:p>
                    <w:p w:rsidR="00B96342" w:rsidRPr="00C938F7" w:rsidRDefault="00B96342" w:rsidP="00B96342">
                      <w:pPr>
                        <w:pStyle w:val="ListParagraph"/>
                        <w:widowControl/>
                        <w:numPr>
                          <w:ilvl w:val="0"/>
                          <w:numId w:val="2"/>
                        </w:numPr>
                        <w:adjustRightInd w:val="0"/>
                        <w:spacing w:after="200" w:line="276" w:lineRule="auto"/>
                        <w:contextualSpacing/>
                        <w:rPr>
                          <w:rFonts w:cstheme="minorHAnsi"/>
                          <w:color w:val="000000"/>
                        </w:rPr>
                      </w:pPr>
                      <w:r w:rsidRPr="00C938F7">
                        <w:rPr>
                          <w:rFonts w:cstheme="minorHAnsi"/>
                          <w:b/>
                          <w:color w:val="000000"/>
                        </w:rPr>
                        <w:t>pan-retinal photocoagulation</w:t>
                      </w:r>
                      <w:r>
                        <w:rPr>
                          <w:rFonts w:cstheme="minorHAnsi"/>
                          <w:color w:val="000000"/>
                        </w:rPr>
                        <w:t xml:space="preserve"> – </w:t>
                      </w:r>
                      <w:r w:rsidRPr="00C938F7">
                        <w:rPr>
                          <w:rFonts w:cstheme="minorHAnsi"/>
                          <w:bCs/>
                          <w:lang w:val="en"/>
                        </w:rPr>
                        <w:t xml:space="preserve">pan-retinal photocoagulation </w:t>
                      </w:r>
                      <w:r w:rsidRPr="00C938F7">
                        <w:rPr>
                          <w:rFonts w:cstheme="minorHAnsi"/>
                          <w:lang w:val="en"/>
                        </w:rPr>
                        <w:t xml:space="preserve">is a type of laser treatment for the eye. It is used in people who have developed new abnormal blood vessels at the back of the eye in the </w:t>
                      </w:r>
                      <w:r w:rsidRPr="00C938F7">
                        <w:rPr>
                          <w:rFonts w:cstheme="minorHAnsi"/>
                          <w:b/>
                          <w:bCs/>
                          <w:lang w:val="en"/>
                        </w:rPr>
                        <w:t>retina</w:t>
                      </w:r>
                      <w:r w:rsidRPr="00C938F7">
                        <w:rPr>
                          <w:rFonts w:cstheme="minorHAnsi"/>
                          <w:lang w:val="en"/>
                        </w:rPr>
                        <w:t xml:space="preserve"> or in the drainage system within the eyeball.</w:t>
                      </w:r>
                    </w:p>
                    <w:p w:rsidR="00B96342" w:rsidRDefault="00B96342"/>
                  </w:txbxContent>
                </v:textbox>
              </v:shape>
            </w:pict>
          </mc:Fallback>
        </mc:AlternateContent>
      </w: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B96342" w:rsidRDefault="00B96342">
      <w:pPr>
        <w:pStyle w:val="BodyText"/>
        <w:spacing w:before="7"/>
        <w:rPr>
          <w:b/>
        </w:rPr>
      </w:pPr>
    </w:p>
    <w:p w:rsidR="00354C39" w:rsidRDefault="006B6F09">
      <w:pPr>
        <w:ind w:left="240"/>
        <w:rPr>
          <w:b/>
          <w:sz w:val="24"/>
        </w:rPr>
      </w:pPr>
      <w:r>
        <w:rPr>
          <w:noProof/>
          <w:lang w:bidi="ar-SA"/>
        </w:rPr>
        <mc:AlternateContent>
          <mc:Choice Requires="wps">
            <w:drawing>
              <wp:anchor distT="0" distB="0" distL="0" distR="0" simplePos="0" relativeHeight="251659776" behindDoc="1" locked="0" layoutInCell="1" allowOverlap="1">
                <wp:simplePos x="0" y="0"/>
                <wp:positionH relativeFrom="page">
                  <wp:posOffset>803275</wp:posOffset>
                </wp:positionH>
                <wp:positionV relativeFrom="paragraph">
                  <wp:posOffset>206375</wp:posOffset>
                </wp:positionV>
                <wp:extent cx="5979160" cy="414020"/>
                <wp:effectExtent l="12700" t="5080" r="8890" b="95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414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4C39" w:rsidRDefault="006B6F09">
                            <w:pPr>
                              <w:pStyle w:val="BodyText"/>
                              <w:spacing w:before="58"/>
                              <w:ind w:left="103" w:right="366"/>
                            </w:pPr>
                            <w:r>
                              <w:t>North East Treatment Advisory Group (NETAG): Bevacizumab (</w:t>
                            </w:r>
                            <w:proofErr w:type="spellStart"/>
                            <w:r>
                              <w:t>Avastin</w:t>
                            </w:r>
                            <w:proofErr w:type="spellEnd"/>
                            <w:r>
                              <w:t xml:space="preserve">®) for </w:t>
                            </w:r>
                            <w:proofErr w:type="spellStart"/>
                            <w:r>
                              <w:t>neovascular</w:t>
                            </w:r>
                            <w:proofErr w:type="spellEnd"/>
                            <w:r>
                              <w:t xml:space="preserve"> glaucoma secondary to ischaemic central retinal vein occlusion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3.25pt;margin-top:16.25pt;width:470.8pt;height:32.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1qhgIAAB8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" filled="f" strokeweight=".48pt">
                <v:textbox inset="0,0,0,0">
                  <w:txbxContent>
                    <w:p w:rsidR="00354C39" w:rsidRDefault="006B6F09">
                      <w:pPr>
                        <w:pStyle w:val="BodyText"/>
                        <w:spacing w:before="58"/>
                        <w:ind w:left="103" w:right="366"/>
                      </w:pPr>
                      <w:r>
                        <w:t>North East Treatment Advisory Group (NETAG): Bevacizumab (Avastin®) for neovascular glaucoma secondary to ischaemic central retinal vein occlusion</w:t>
                      </w:r>
                    </w:p>
                  </w:txbxContent>
                </v:textbox>
                <w10:wrap type="topAndBottom" anchorx="page"/>
              </v:shape>
            </w:pict>
          </mc:Fallback>
        </mc:AlternateContent>
      </w:r>
      <w:r>
        <w:rPr>
          <w:b/>
          <w:sz w:val="24"/>
        </w:rPr>
        <w:t>Evidence base:</w:t>
      </w:r>
    </w:p>
    <w:p w:rsidR="00354C39" w:rsidRDefault="00354C39">
      <w:pPr>
        <w:pStyle w:val="BodyText"/>
        <w:rPr>
          <w:b/>
          <w:sz w:val="23"/>
        </w:rPr>
      </w:pPr>
    </w:p>
    <w:p w:rsidR="00424343" w:rsidRDefault="003210D8" w:rsidP="003210D8">
      <w:pPr>
        <w:rPr>
          <w:sz w:val="24"/>
        </w:rPr>
      </w:pPr>
      <w:r>
        <w:rPr>
          <w:sz w:val="24"/>
        </w:rPr>
        <w:t xml:space="preserve">  </w:t>
      </w:r>
      <w:r w:rsidR="006B6F09">
        <w:rPr>
          <w:sz w:val="24"/>
        </w:rPr>
        <w:t>Link to application form – Not applicable</w:t>
      </w:r>
    </w:p>
    <w:p w:rsidR="003210D8" w:rsidRDefault="003210D8" w:rsidP="003210D8">
      <w:pPr>
        <w:spacing w:before="12"/>
        <w:rPr>
          <w:sz w:val="24"/>
        </w:rPr>
      </w:pPr>
      <w:r>
        <w:rPr>
          <w:sz w:val="24"/>
        </w:rPr>
        <w:t xml:space="preserve">  For further information please contact </w:t>
      </w:r>
      <w:hyperlink r:id="rId11">
        <w:r>
          <w:rPr>
            <w:color w:val="0000FF"/>
            <w:sz w:val="24"/>
            <w:u w:val="single" w:color="0000FF"/>
          </w:rPr>
          <w:t>GLCCG.IFR@nhs.net</w:t>
        </w:r>
      </w:hyperlink>
    </w:p>
    <w:p w:rsidR="003210D8" w:rsidRDefault="003210D8" w:rsidP="003210D8">
      <w:pPr>
        <w:pStyle w:val="BodyText"/>
        <w:rPr>
          <w:sz w:val="20"/>
        </w:rPr>
      </w:pPr>
    </w:p>
    <w:p w:rsidR="003210D8" w:rsidRDefault="003210D8" w:rsidP="003210D8">
      <w:pPr>
        <w:pStyle w:val="BodyText"/>
        <w:spacing w:before="11"/>
        <w:rPr>
          <w:sz w:val="1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6857"/>
      </w:tblGrid>
      <w:tr w:rsidR="003210D8" w:rsidTr="003210D8">
        <w:trPr>
          <w:trHeight w:val="254"/>
        </w:trPr>
        <w:tc>
          <w:tcPr>
            <w:tcW w:w="2499" w:type="dxa"/>
          </w:tcPr>
          <w:p w:rsidR="003210D8" w:rsidRDefault="003210D8" w:rsidP="000C4D7D">
            <w:pPr>
              <w:pStyle w:val="TableParagraph"/>
              <w:rPr>
                <w:b/>
              </w:rPr>
            </w:pPr>
            <w:r>
              <w:rPr>
                <w:b/>
              </w:rPr>
              <w:t>Date of publication</w:t>
            </w:r>
          </w:p>
        </w:tc>
        <w:tc>
          <w:tcPr>
            <w:tcW w:w="6857" w:type="dxa"/>
          </w:tcPr>
          <w:p w:rsidR="003210D8" w:rsidRDefault="003210D8" w:rsidP="000C4D7D">
            <w:pPr>
              <w:pStyle w:val="TableParagraph"/>
            </w:pPr>
            <w:r>
              <w:t>12</w:t>
            </w:r>
            <w:r>
              <w:rPr>
                <w:vertAlign w:val="superscript"/>
              </w:rPr>
              <w:t>th</w:t>
            </w:r>
            <w:r>
              <w:t xml:space="preserve"> October 2015</w:t>
            </w:r>
          </w:p>
        </w:tc>
      </w:tr>
      <w:tr w:rsidR="003210D8" w:rsidTr="003210D8">
        <w:trPr>
          <w:trHeight w:val="251"/>
        </w:trPr>
        <w:tc>
          <w:tcPr>
            <w:tcW w:w="2499" w:type="dxa"/>
          </w:tcPr>
          <w:p w:rsidR="003210D8" w:rsidRDefault="003210D8" w:rsidP="000C4D7D">
            <w:pPr>
              <w:pStyle w:val="TableParagraph"/>
              <w:spacing w:line="232" w:lineRule="exact"/>
              <w:rPr>
                <w:b/>
              </w:rPr>
            </w:pPr>
            <w:r>
              <w:rPr>
                <w:b/>
              </w:rPr>
              <w:t>Policy review date</w:t>
            </w:r>
          </w:p>
        </w:tc>
        <w:tc>
          <w:tcPr>
            <w:tcW w:w="6857" w:type="dxa"/>
          </w:tcPr>
          <w:p w:rsidR="003210D8" w:rsidRDefault="001729F0" w:rsidP="003210D8">
            <w:pPr>
              <w:pStyle w:val="TableParagraph"/>
              <w:spacing w:line="232" w:lineRule="exact"/>
            </w:pPr>
            <w:r>
              <w:t>July 2022</w:t>
            </w:r>
          </w:p>
        </w:tc>
      </w:tr>
    </w:tbl>
    <w:p w:rsidR="003210D8" w:rsidRDefault="003210D8" w:rsidP="003210D8">
      <w:pPr>
        <w:pStyle w:val="BodyText"/>
        <w:spacing w:before="4"/>
        <w:rPr>
          <w:sz w:val="27"/>
        </w:rPr>
      </w:pPr>
    </w:p>
    <w:p w:rsidR="003210D8" w:rsidRDefault="003210D8" w:rsidP="003210D8">
      <w:pPr>
        <w:spacing w:after="46"/>
        <w:ind w:left="240"/>
        <w:rPr>
          <w:b/>
          <w:sz w:val="24"/>
        </w:rPr>
      </w:pPr>
      <w:r>
        <w:rPr>
          <w:b/>
          <w:sz w:val="24"/>
        </w:rPr>
        <w:t>Consultation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3210D8" w:rsidTr="000C4D7D">
        <w:trPr>
          <w:trHeight w:val="251"/>
        </w:trPr>
        <w:tc>
          <w:tcPr>
            <w:tcW w:w="5922" w:type="dxa"/>
          </w:tcPr>
          <w:p w:rsidR="003210D8" w:rsidRDefault="003210D8" w:rsidP="000C4D7D">
            <w:pPr>
              <w:pStyle w:val="TableParagraph"/>
              <w:spacing w:line="232" w:lineRule="exact"/>
              <w:rPr>
                <w:b/>
              </w:rPr>
            </w:pPr>
            <w:r>
              <w:rPr>
                <w:b/>
              </w:rPr>
              <w:t>Consultee</w:t>
            </w:r>
          </w:p>
        </w:tc>
        <w:tc>
          <w:tcPr>
            <w:tcW w:w="3322" w:type="dxa"/>
          </w:tcPr>
          <w:p w:rsidR="003210D8" w:rsidRDefault="003210D8" w:rsidP="000C4D7D">
            <w:pPr>
              <w:pStyle w:val="TableParagraph"/>
              <w:spacing w:line="232" w:lineRule="exact"/>
              <w:rPr>
                <w:b/>
              </w:rPr>
            </w:pPr>
            <w:r>
              <w:rPr>
                <w:b/>
              </w:rPr>
              <w:t>Date</w:t>
            </w:r>
          </w:p>
        </w:tc>
      </w:tr>
      <w:tr w:rsidR="003210D8" w:rsidTr="000C4D7D">
        <w:trPr>
          <w:trHeight w:val="254"/>
        </w:trPr>
        <w:tc>
          <w:tcPr>
            <w:tcW w:w="5922" w:type="dxa"/>
          </w:tcPr>
          <w:p w:rsidR="003210D8" w:rsidRDefault="003210D8" w:rsidP="000C4D7D">
            <w:pPr>
              <w:pStyle w:val="TableParagraph"/>
            </w:pPr>
            <w:r>
              <w:t>Clinical Programme Group</w:t>
            </w:r>
          </w:p>
        </w:tc>
        <w:tc>
          <w:tcPr>
            <w:tcW w:w="3322" w:type="dxa"/>
          </w:tcPr>
          <w:p w:rsidR="003210D8" w:rsidRDefault="003210D8" w:rsidP="000C4D7D">
            <w:pPr>
              <w:pStyle w:val="TableParagraph"/>
            </w:pPr>
            <w:r>
              <w:t>30</w:t>
            </w:r>
            <w:r>
              <w:rPr>
                <w:vertAlign w:val="superscript"/>
              </w:rPr>
              <w:t>th</w:t>
            </w:r>
            <w:r>
              <w:t xml:space="preserve"> June 2015</w:t>
            </w:r>
          </w:p>
        </w:tc>
      </w:tr>
      <w:tr w:rsidR="003210D8" w:rsidTr="000C4D7D">
        <w:trPr>
          <w:trHeight w:val="251"/>
        </w:trPr>
        <w:tc>
          <w:tcPr>
            <w:tcW w:w="5922" w:type="dxa"/>
          </w:tcPr>
          <w:p w:rsidR="003210D8" w:rsidRDefault="003210D8" w:rsidP="000C4D7D">
            <w:pPr>
              <w:pStyle w:val="TableParagraph"/>
              <w:spacing w:line="232" w:lineRule="exact"/>
            </w:pPr>
            <w:r>
              <w:t>GHNHSFT (via CPG)</w:t>
            </w:r>
          </w:p>
        </w:tc>
        <w:tc>
          <w:tcPr>
            <w:tcW w:w="3322" w:type="dxa"/>
          </w:tcPr>
          <w:p w:rsidR="003210D8" w:rsidRDefault="003210D8" w:rsidP="000C4D7D">
            <w:pPr>
              <w:pStyle w:val="TableParagraph"/>
              <w:spacing w:line="232" w:lineRule="exact"/>
            </w:pPr>
            <w:r>
              <w:t>30</w:t>
            </w:r>
            <w:r>
              <w:rPr>
                <w:vertAlign w:val="superscript"/>
              </w:rPr>
              <w:t>th</w:t>
            </w:r>
            <w:r>
              <w:t xml:space="preserve"> June 2015</w:t>
            </w:r>
          </w:p>
        </w:tc>
      </w:tr>
      <w:tr w:rsidR="003210D8" w:rsidTr="000C4D7D">
        <w:trPr>
          <w:trHeight w:val="254"/>
        </w:trPr>
        <w:tc>
          <w:tcPr>
            <w:tcW w:w="5922" w:type="dxa"/>
          </w:tcPr>
          <w:p w:rsidR="003210D8" w:rsidRDefault="003210D8" w:rsidP="000C4D7D">
            <w:pPr>
              <w:pStyle w:val="TableParagraph"/>
            </w:pPr>
            <w:r>
              <w:t>GP Membership (via What’s New This Week)</w:t>
            </w:r>
          </w:p>
        </w:tc>
        <w:tc>
          <w:tcPr>
            <w:tcW w:w="3322" w:type="dxa"/>
          </w:tcPr>
          <w:p w:rsidR="003210D8" w:rsidRDefault="003210D8" w:rsidP="000C4D7D">
            <w:pPr>
              <w:pStyle w:val="TableParagraph"/>
            </w:pPr>
            <w:r>
              <w:t>10th July – 7</w:t>
            </w:r>
            <w:r>
              <w:rPr>
                <w:vertAlign w:val="superscript"/>
              </w:rPr>
              <w:t>th</w:t>
            </w:r>
            <w:r>
              <w:t xml:space="preserve"> August 2015</w:t>
            </w:r>
          </w:p>
        </w:tc>
      </w:tr>
      <w:tr w:rsidR="003210D8" w:rsidTr="000C4D7D">
        <w:trPr>
          <w:trHeight w:val="254"/>
        </w:trPr>
        <w:tc>
          <w:tcPr>
            <w:tcW w:w="5922" w:type="dxa"/>
            <w:shd w:val="clear" w:color="auto" w:fill="C4BA94"/>
          </w:tcPr>
          <w:p w:rsidR="003210D8" w:rsidRDefault="003210D8" w:rsidP="000C4D7D">
            <w:pPr>
              <w:pStyle w:val="TableParagraph"/>
              <w:spacing w:line="240" w:lineRule="auto"/>
              <w:ind w:left="0"/>
              <w:rPr>
                <w:rFonts w:ascii="Times New Roman"/>
                <w:sz w:val="18"/>
              </w:rPr>
            </w:pPr>
          </w:p>
        </w:tc>
        <w:tc>
          <w:tcPr>
            <w:tcW w:w="3322" w:type="dxa"/>
            <w:shd w:val="clear" w:color="auto" w:fill="C4BA94"/>
          </w:tcPr>
          <w:p w:rsidR="003210D8" w:rsidRDefault="003210D8" w:rsidP="000C4D7D">
            <w:pPr>
              <w:pStyle w:val="TableParagraph"/>
              <w:spacing w:line="240" w:lineRule="auto"/>
              <w:ind w:left="0"/>
              <w:rPr>
                <w:rFonts w:ascii="Times New Roman"/>
                <w:sz w:val="18"/>
              </w:rPr>
            </w:pPr>
          </w:p>
        </w:tc>
      </w:tr>
      <w:tr w:rsidR="003210D8" w:rsidTr="000C4D7D">
        <w:trPr>
          <w:trHeight w:val="508"/>
        </w:trPr>
        <w:tc>
          <w:tcPr>
            <w:tcW w:w="5922" w:type="dxa"/>
          </w:tcPr>
          <w:p w:rsidR="003210D8" w:rsidRDefault="003210D8" w:rsidP="000C4D7D">
            <w:pPr>
              <w:pStyle w:val="TableParagraph"/>
              <w:spacing w:line="248" w:lineRule="exact"/>
            </w:pPr>
            <w:r>
              <w:t>Has the consultation included patient representatives?</w:t>
            </w:r>
          </w:p>
        </w:tc>
        <w:tc>
          <w:tcPr>
            <w:tcW w:w="3322" w:type="dxa"/>
          </w:tcPr>
          <w:p w:rsidR="003210D8" w:rsidRDefault="003210D8" w:rsidP="000C4D7D">
            <w:pPr>
              <w:pStyle w:val="TableParagraph"/>
              <w:spacing w:before="2" w:line="252" w:lineRule="exact"/>
              <w:ind w:right="751"/>
            </w:pPr>
            <w:r>
              <w:t>Yes (via CPG and ECCP membership)</w:t>
            </w:r>
          </w:p>
        </w:tc>
      </w:tr>
    </w:tbl>
    <w:p w:rsidR="003210D8" w:rsidRDefault="003210D8" w:rsidP="003210D8">
      <w:pPr>
        <w:pStyle w:val="BodyText"/>
        <w:spacing w:before="11"/>
        <w:rPr>
          <w:b/>
          <w:sz w:val="26"/>
        </w:rPr>
      </w:pPr>
    </w:p>
    <w:p w:rsidR="003210D8" w:rsidRDefault="003210D8" w:rsidP="003210D8">
      <w:pPr>
        <w:spacing w:after="48"/>
        <w:ind w:left="240"/>
        <w:rPr>
          <w:b/>
          <w:sz w:val="24"/>
        </w:rPr>
      </w:pPr>
      <w:r>
        <w:rPr>
          <w:b/>
          <w:sz w:val="24"/>
        </w:rPr>
        <w:t>Policy sign</w:t>
      </w:r>
      <w:r>
        <w:rPr>
          <w:b/>
          <w:spacing w:val="-4"/>
          <w:sz w:val="24"/>
        </w:rPr>
        <w:t xml:space="preserve"> </w:t>
      </w:r>
      <w:r>
        <w:rPr>
          <w:b/>
          <w:sz w:val="24"/>
        </w:rPr>
        <w:t>off</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3210D8" w:rsidTr="000C4D7D">
        <w:trPr>
          <w:trHeight w:val="253"/>
        </w:trPr>
        <w:tc>
          <w:tcPr>
            <w:tcW w:w="5922" w:type="dxa"/>
          </w:tcPr>
          <w:p w:rsidR="003210D8" w:rsidRDefault="003210D8" w:rsidP="000C4D7D">
            <w:pPr>
              <w:pStyle w:val="TableParagraph"/>
              <w:rPr>
                <w:b/>
              </w:rPr>
            </w:pPr>
            <w:r>
              <w:rPr>
                <w:b/>
              </w:rPr>
              <w:t>Reviewing Body</w:t>
            </w:r>
          </w:p>
        </w:tc>
        <w:tc>
          <w:tcPr>
            <w:tcW w:w="3322" w:type="dxa"/>
          </w:tcPr>
          <w:p w:rsidR="003210D8" w:rsidRDefault="003210D8" w:rsidP="000C4D7D">
            <w:pPr>
              <w:pStyle w:val="TableParagraph"/>
              <w:rPr>
                <w:b/>
              </w:rPr>
            </w:pPr>
            <w:r>
              <w:rPr>
                <w:b/>
              </w:rPr>
              <w:t>Date of review</w:t>
            </w:r>
          </w:p>
        </w:tc>
      </w:tr>
      <w:tr w:rsidR="003210D8" w:rsidTr="000C4D7D">
        <w:trPr>
          <w:trHeight w:val="251"/>
        </w:trPr>
        <w:tc>
          <w:tcPr>
            <w:tcW w:w="5922" w:type="dxa"/>
          </w:tcPr>
          <w:p w:rsidR="003210D8" w:rsidRDefault="003210D8" w:rsidP="000C4D7D">
            <w:pPr>
              <w:pStyle w:val="TableParagraph"/>
              <w:spacing w:line="232" w:lineRule="exact"/>
            </w:pPr>
            <w:r>
              <w:t>Effective Clinical Commissioning Policy Group</w:t>
            </w:r>
          </w:p>
        </w:tc>
        <w:tc>
          <w:tcPr>
            <w:tcW w:w="3322" w:type="dxa"/>
          </w:tcPr>
          <w:p w:rsidR="003210D8" w:rsidRDefault="003210D8" w:rsidP="000C4D7D">
            <w:pPr>
              <w:pStyle w:val="TableParagraph"/>
              <w:spacing w:line="232" w:lineRule="exact"/>
            </w:pPr>
            <w:r>
              <w:t>3</w:t>
            </w:r>
            <w:r>
              <w:rPr>
                <w:vertAlign w:val="superscript"/>
              </w:rPr>
              <w:t>rd</w:t>
            </w:r>
            <w:r>
              <w:t xml:space="preserve"> August 2015 (virtual)</w:t>
            </w:r>
          </w:p>
        </w:tc>
      </w:tr>
      <w:tr w:rsidR="003210D8" w:rsidTr="000C4D7D">
        <w:trPr>
          <w:trHeight w:val="253"/>
        </w:trPr>
        <w:tc>
          <w:tcPr>
            <w:tcW w:w="5922" w:type="dxa"/>
          </w:tcPr>
          <w:p w:rsidR="003210D8" w:rsidRDefault="003210D8" w:rsidP="000C4D7D">
            <w:pPr>
              <w:pStyle w:val="TableParagraph"/>
            </w:pPr>
            <w:r>
              <w:t>Integrated Governance and Quality Committee</w:t>
            </w:r>
          </w:p>
        </w:tc>
        <w:tc>
          <w:tcPr>
            <w:tcW w:w="3322" w:type="dxa"/>
          </w:tcPr>
          <w:p w:rsidR="003210D8" w:rsidRDefault="003210D8" w:rsidP="000C4D7D">
            <w:pPr>
              <w:pStyle w:val="TableParagraph"/>
            </w:pPr>
            <w:r>
              <w:t>20</w:t>
            </w:r>
            <w:r>
              <w:rPr>
                <w:vertAlign w:val="superscript"/>
              </w:rPr>
              <w:t>th</w:t>
            </w:r>
            <w:r>
              <w:t xml:space="preserve"> August 2015</w:t>
            </w:r>
          </w:p>
        </w:tc>
      </w:tr>
    </w:tbl>
    <w:p w:rsidR="003210D8" w:rsidRDefault="003210D8" w:rsidP="003210D8">
      <w:pPr>
        <w:pStyle w:val="BodyText"/>
        <w:spacing w:before="8"/>
        <w:rPr>
          <w:b/>
          <w:sz w:val="21"/>
        </w:rPr>
      </w:pPr>
    </w:p>
    <w:p w:rsidR="003210D8" w:rsidRDefault="003210D8" w:rsidP="003210D8">
      <w:pPr>
        <w:pStyle w:val="Heading2"/>
        <w:spacing w:after="4"/>
        <w:ind w:left="221"/>
      </w:pPr>
      <w:r>
        <w:t>Version</w:t>
      </w:r>
      <w:r>
        <w:rPr>
          <w:spacing w:val="-5"/>
        </w:rPr>
        <w:t xml:space="preserve"> </w:t>
      </w:r>
      <w:r>
        <w:t>Control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015"/>
        <w:gridCol w:w="964"/>
        <w:gridCol w:w="4820"/>
      </w:tblGrid>
      <w:tr w:rsidR="003210D8" w:rsidTr="003210D8">
        <w:trPr>
          <w:trHeight w:val="290"/>
        </w:trPr>
        <w:tc>
          <w:tcPr>
            <w:tcW w:w="1416" w:type="dxa"/>
          </w:tcPr>
          <w:p w:rsidR="003210D8" w:rsidRDefault="003210D8" w:rsidP="000C4D7D">
            <w:pPr>
              <w:pStyle w:val="TableParagraph"/>
              <w:spacing w:line="248" w:lineRule="exact"/>
              <w:rPr>
                <w:b/>
              </w:rPr>
            </w:pPr>
            <w:r>
              <w:rPr>
                <w:b/>
              </w:rPr>
              <w:t>Version No</w:t>
            </w:r>
          </w:p>
        </w:tc>
        <w:tc>
          <w:tcPr>
            <w:tcW w:w="2015" w:type="dxa"/>
          </w:tcPr>
          <w:p w:rsidR="003210D8" w:rsidRDefault="003210D8" w:rsidP="000C4D7D">
            <w:pPr>
              <w:pStyle w:val="TableParagraph"/>
              <w:spacing w:line="248" w:lineRule="exact"/>
              <w:rPr>
                <w:b/>
              </w:rPr>
            </w:pPr>
            <w:r>
              <w:rPr>
                <w:b/>
              </w:rPr>
              <w:t>Type of Change</w:t>
            </w:r>
          </w:p>
        </w:tc>
        <w:tc>
          <w:tcPr>
            <w:tcW w:w="964" w:type="dxa"/>
          </w:tcPr>
          <w:p w:rsidR="003210D8" w:rsidRDefault="003210D8" w:rsidP="000C4D7D">
            <w:pPr>
              <w:pStyle w:val="TableParagraph"/>
              <w:spacing w:line="248" w:lineRule="exact"/>
              <w:rPr>
                <w:b/>
              </w:rPr>
            </w:pPr>
            <w:r>
              <w:rPr>
                <w:b/>
              </w:rPr>
              <w:t>Date</w:t>
            </w:r>
          </w:p>
        </w:tc>
        <w:tc>
          <w:tcPr>
            <w:tcW w:w="4820" w:type="dxa"/>
          </w:tcPr>
          <w:p w:rsidR="003210D8" w:rsidRDefault="003210D8" w:rsidP="000C4D7D">
            <w:pPr>
              <w:pStyle w:val="TableParagraph"/>
              <w:spacing w:line="248" w:lineRule="exact"/>
              <w:rPr>
                <w:b/>
              </w:rPr>
            </w:pPr>
            <w:r>
              <w:rPr>
                <w:b/>
              </w:rPr>
              <w:t>Description of Change</w:t>
            </w:r>
          </w:p>
        </w:tc>
      </w:tr>
      <w:tr w:rsidR="003210D8" w:rsidTr="003210D8">
        <w:trPr>
          <w:trHeight w:val="318"/>
        </w:trPr>
        <w:tc>
          <w:tcPr>
            <w:tcW w:w="1416" w:type="dxa"/>
          </w:tcPr>
          <w:p w:rsidR="003210D8" w:rsidRDefault="003210D8" w:rsidP="003210D8">
            <w:pPr>
              <w:pStyle w:val="TableParagraph"/>
              <w:spacing w:before="74" w:line="225" w:lineRule="exact"/>
              <w:ind w:left="57"/>
            </w:pPr>
            <w:r>
              <w:t>1</w:t>
            </w:r>
          </w:p>
        </w:tc>
        <w:tc>
          <w:tcPr>
            <w:tcW w:w="2015" w:type="dxa"/>
          </w:tcPr>
          <w:p w:rsidR="003210D8" w:rsidRDefault="003210D8" w:rsidP="003210D8">
            <w:pPr>
              <w:pStyle w:val="TableParagraph"/>
              <w:spacing w:line="240" w:lineRule="auto"/>
              <w:ind w:left="57"/>
              <w:rPr>
                <w:rFonts w:ascii="Times New Roman"/>
              </w:rPr>
            </w:pPr>
          </w:p>
        </w:tc>
        <w:tc>
          <w:tcPr>
            <w:tcW w:w="964" w:type="dxa"/>
          </w:tcPr>
          <w:p w:rsidR="003210D8" w:rsidRDefault="003210D8" w:rsidP="003210D8">
            <w:pPr>
              <w:pStyle w:val="TableParagraph"/>
              <w:spacing w:line="240" w:lineRule="auto"/>
              <w:ind w:left="57"/>
              <w:rPr>
                <w:rFonts w:ascii="Times New Roman"/>
              </w:rPr>
            </w:pPr>
          </w:p>
        </w:tc>
        <w:tc>
          <w:tcPr>
            <w:tcW w:w="4820" w:type="dxa"/>
          </w:tcPr>
          <w:p w:rsidR="003210D8" w:rsidRDefault="003210D8" w:rsidP="003210D8">
            <w:pPr>
              <w:pStyle w:val="TableParagraph"/>
              <w:spacing w:before="57" w:line="241" w:lineRule="exact"/>
              <w:ind w:left="57"/>
            </w:pPr>
            <w:r>
              <w:t>Date of publication 12.10.15</w:t>
            </w:r>
          </w:p>
        </w:tc>
      </w:tr>
      <w:tr w:rsidR="003210D8" w:rsidTr="003210D8">
        <w:trPr>
          <w:trHeight w:val="316"/>
        </w:trPr>
        <w:tc>
          <w:tcPr>
            <w:tcW w:w="1416" w:type="dxa"/>
          </w:tcPr>
          <w:p w:rsidR="003210D8" w:rsidRDefault="003210D8" w:rsidP="003210D8">
            <w:pPr>
              <w:pStyle w:val="TableParagraph"/>
              <w:spacing w:before="49" w:line="247" w:lineRule="exact"/>
              <w:ind w:left="57"/>
            </w:pPr>
            <w:r>
              <w:t>2</w:t>
            </w:r>
          </w:p>
        </w:tc>
        <w:tc>
          <w:tcPr>
            <w:tcW w:w="2015" w:type="dxa"/>
          </w:tcPr>
          <w:p w:rsidR="003210D8" w:rsidRDefault="003210D8" w:rsidP="003210D8">
            <w:pPr>
              <w:pStyle w:val="TableParagraph"/>
              <w:spacing w:before="41" w:line="240" w:lineRule="auto"/>
              <w:ind w:left="57"/>
            </w:pPr>
            <w:r>
              <w:t>Date change</w:t>
            </w:r>
          </w:p>
        </w:tc>
        <w:tc>
          <w:tcPr>
            <w:tcW w:w="964" w:type="dxa"/>
          </w:tcPr>
          <w:p w:rsidR="003210D8" w:rsidRDefault="003210D8" w:rsidP="003210D8">
            <w:pPr>
              <w:pStyle w:val="TableParagraph"/>
              <w:spacing w:line="237" w:lineRule="exact"/>
              <w:ind w:left="57" w:right="87"/>
              <w:jc w:val="right"/>
            </w:pPr>
            <w:r>
              <w:t>21.6.18</w:t>
            </w:r>
          </w:p>
        </w:tc>
        <w:tc>
          <w:tcPr>
            <w:tcW w:w="4820" w:type="dxa"/>
          </w:tcPr>
          <w:p w:rsidR="003210D8" w:rsidRDefault="003210D8" w:rsidP="003210D8">
            <w:pPr>
              <w:pStyle w:val="TableParagraph"/>
              <w:spacing w:before="41" w:line="240" w:lineRule="auto"/>
              <w:ind w:left="57"/>
            </w:pPr>
            <w:r>
              <w:t>Review date changed to June 2019</w:t>
            </w:r>
          </w:p>
        </w:tc>
      </w:tr>
      <w:tr w:rsidR="003210D8" w:rsidTr="003210D8">
        <w:trPr>
          <w:trHeight w:val="318"/>
        </w:trPr>
        <w:tc>
          <w:tcPr>
            <w:tcW w:w="1416" w:type="dxa"/>
          </w:tcPr>
          <w:p w:rsidR="003210D8" w:rsidRDefault="003210D8" w:rsidP="003210D8">
            <w:pPr>
              <w:pStyle w:val="TableParagraph"/>
              <w:spacing w:before="28" w:line="240" w:lineRule="auto"/>
              <w:ind w:left="57"/>
            </w:pPr>
            <w:r>
              <w:t>3</w:t>
            </w:r>
          </w:p>
        </w:tc>
        <w:tc>
          <w:tcPr>
            <w:tcW w:w="2015" w:type="dxa"/>
          </w:tcPr>
          <w:p w:rsidR="003210D8" w:rsidRDefault="003210D8" w:rsidP="003210D8">
            <w:pPr>
              <w:pStyle w:val="TableParagraph"/>
              <w:spacing w:line="248" w:lineRule="exact"/>
              <w:ind w:left="57"/>
            </w:pPr>
            <w:r>
              <w:t>Date change</w:t>
            </w:r>
          </w:p>
        </w:tc>
        <w:tc>
          <w:tcPr>
            <w:tcW w:w="964" w:type="dxa"/>
          </w:tcPr>
          <w:p w:rsidR="003210D8" w:rsidRDefault="003210D8" w:rsidP="003210D8">
            <w:pPr>
              <w:pStyle w:val="TableParagraph"/>
              <w:spacing w:line="240" w:lineRule="auto"/>
              <w:ind w:left="57" w:right="113"/>
              <w:jc w:val="right"/>
            </w:pPr>
            <w:r>
              <w:t>17.9.19</w:t>
            </w:r>
          </w:p>
        </w:tc>
        <w:tc>
          <w:tcPr>
            <w:tcW w:w="4820" w:type="dxa"/>
          </w:tcPr>
          <w:p w:rsidR="003210D8" w:rsidRDefault="003210D8" w:rsidP="003210D8">
            <w:pPr>
              <w:pStyle w:val="TableParagraph"/>
              <w:spacing w:line="248" w:lineRule="exact"/>
              <w:ind w:left="57"/>
            </w:pPr>
            <w:r>
              <w:t>Review date changed to September 2020</w:t>
            </w:r>
          </w:p>
        </w:tc>
      </w:tr>
      <w:tr w:rsidR="003210D8" w:rsidTr="003210D8">
        <w:trPr>
          <w:trHeight w:val="318"/>
        </w:trPr>
        <w:tc>
          <w:tcPr>
            <w:tcW w:w="1416" w:type="dxa"/>
          </w:tcPr>
          <w:p w:rsidR="003210D8" w:rsidRDefault="003210D8" w:rsidP="003210D8">
            <w:pPr>
              <w:pStyle w:val="TableParagraph"/>
              <w:spacing w:before="28" w:line="240" w:lineRule="auto"/>
              <w:ind w:left="57"/>
            </w:pPr>
            <w:r>
              <w:t>4</w:t>
            </w:r>
          </w:p>
        </w:tc>
        <w:tc>
          <w:tcPr>
            <w:tcW w:w="2015" w:type="dxa"/>
          </w:tcPr>
          <w:p w:rsidR="003210D8" w:rsidRDefault="00FE06E5" w:rsidP="003210D8">
            <w:pPr>
              <w:pStyle w:val="TableParagraph"/>
              <w:spacing w:line="248" w:lineRule="exact"/>
              <w:ind w:left="57"/>
            </w:pPr>
            <w:r>
              <w:t>Date &amp; wording</w:t>
            </w:r>
          </w:p>
        </w:tc>
        <w:tc>
          <w:tcPr>
            <w:tcW w:w="964" w:type="dxa"/>
          </w:tcPr>
          <w:p w:rsidR="003210D8" w:rsidRDefault="00FE06E5" w:rsidP="00FE06E5">
            <w:pPr>
              <w:pStyle w:val="TableParagraph"/>
              <w:spacing w:before="100" w:beforeAutospacing="1" w:after="100" w:afterAutospacing="1" w:line="240" w:lineRule="auto"/>
              <w:ind w:left="57"/>
              <w:jc w:val="center"/>
            </w:pPr>
            <w:r>
              <w:t>11.6.20</w:t>
            </w:r>
          </w:p>
        </w:tc>
        <w:tc>
          <w:tcPr>
            <w:tcW w:w="4820" w:type="dxa"/>
          </w:tcPr>
          <w:p w:rsidR="003210D8" w:rsidRDefault="00FE06E5" w:rsidP="001729F0">
            <w:pPr>
              <w:pStyle w:val="TableParagraph"/>
              <w:spacing w:line="248" w:lineRule="exact"/>
              <w:ind w:left="57"/>
            </w:pPr>
            <w:r>
              <w:t xml:space="preserve">Review date changed to </w:t>
            </w:r>
            <w:r w:rsidR="001729F0">
              <w:t>July 2022</w:t>
            </w:r>
            <w:bookmarkStart w:id="0" w:name="_GoBack"/>
            <w:bookmarkEnd w:id="0"/>
            <w:r>
              <w:t xml:space="preserve"> and Plain English Summary updated.</w:t>
            </w:r>
          </w:p>
        </w:tc>
      </w:tr>
    </w:tbl>
    <w:p w:rsidR="00262E94" w:rsidRDefault="00262E94" w:rsidP="003210D8">
      <w:pPr>
        <w:spacing w:before="12"/>
      </w:pPr>
    </w:p>
    <w:sectPr w:rsidR="00262E94">
      <w:headerReference w:type="default" r:id="rId12"/>
      <w:footerReference w:type="default" r:id="rId13"/>
      <w:pgSz w:w="11920" w:h="16850"/>
      <w:pgMar w:top="1700" w:right="1220" w:bottom="1180" w:left="1200" w:header="278" w:footer="99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94" w:rsidRDefault="006B6F09">
      <w:r>
        <w:separator/>
      </w:r>
    </w:p>
  </w:endnote>
  <w:endnote w:type="continuationSeparator" w:id="0">
    <w:p w:rsidR="00262E94" w:rsidRDefault="006B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39" w:rsidRDefault="006B6F09">
    <w:pPr>
      <w:pStyle w:val="BodyText"/>
      <w:spacing w:line="14" w:lineRule="auto"/>
      <w:rPr>
        <w:sz w:val="20"/>
      </w:rPr>
    </w:pPr>
    <w:r>
      <w:rPr>
        <w:noProof/>
        <w:lang w:bidi="ar-SA"/>
      </w:rPr>
      <mc:AlternateContent>
        <mc:Choice Requires="wps">
          <w:drawing>
            <wp:anchor distT="0" distB="0" distL="114300" distR="114300" simplePos="0" relativeHeight="503309672" behindDoc="1" locked="0" layoutInCell="1" allowOverlap="1">
              <wp:simplePos x="0" y="0"/>
              <wp:positionH relativeFrom="page">
                <wp:posOffset>3721100</wp:posOffset>
              </wp:positionH>
              <wp:positionV relativeFrom="page">
                <wp:posOffset>9925050</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39" w:rsidRDefault="006B6F09">
                          <w:pPr>
                            <w:pStyle w:val="BodyText"/>
                            <w:spacing w:line="245" w:lineRule="exact"/>
                            <w:ind w:left="40"/>
                            <w:rPr>
                              <w:rFonts w:ascii="Calibri"/>
                            </w:rPr>
                          </w:pPr>
                          <w:r>
                            <w:fldChar w:fldCharType="begin"/>
                          </w:r>
                          <w:r>
                            <w:rPr>
                              <w:rFonts w:ascii="Calibri"/>
                            </w:rPr>
                            <w:instrText xml:space="preserve"> PAGE </w:instrText>
                          </w:r>
                          <w:r>
                            <w:fldChar w:fldCharType="separate"/>
                          </w:r>
                          <w:r w:rsidR="001729F0">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3pt;margin-top:781.5pt;width:9.6pt;height:13.05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7C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" filled="f" stroked="f">
              <v:textbox inset="0,0,0,0">
                <w:txbxContent>
                  <w:p w:rsidR="00354C39" w:rsidRDefault="006B6F09">
                    <w:pPr>
                      <w:pStyle w:val="BodyText"/>
                      <w:spacing w:line="245" w:lineRule="exact"/>
                      <w:ind w:left="40"/>
                      <w:rPr>
                        <w:rFonts w:ascii="Calibri"/>
                      </w:rPr>
                    </w:pPr>
                    <w:r>
                      <w:fldChar w:fldCharType="begin"/>
                    </w:r>
                    <w:r>
                      <w:rPr>
                        <w:rFonts w:ascii="Calibri"/>
                      </w:rPr>
                      <w:instrText xml:space="preserve"> PAGE </w:instrText>
                    </w:r>
                    <w:r>
                      <w:fldChar w:fldCharType="separate"/>
                    </w:r>
                    <w:r w:rsidR="001729F0">
                      <w:rPr>
                        <w:rFonts w:ascii="Calibri"/>
                        <w:noProof/>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9696" behindDoc="1" locked="0" layoutInCell="1" allowOverlap="1">
              <wp:simplePos x="0" y="0"/>
              <wp:positionH relativeFrom="page">
                <wp:posOffset>6512560</wp:posOffset>
              </wp:positionH>
              <wp:positionV relativeFrom="page">
                <wp:posOffset>10222230</wp:posOffset>
              </wp:positionV>
              <wp:extent cx="14986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C39" w:rsidRDefault="00576D21">
                          <w:pPr>
                            <w:spacing w:before="14"/>
                            <w:ind w:left="20"/>
                            <w:rPr>
                              <w:sz w:val="16"/>
                            </w:rPr>
                          </w:pPr>
                          <w:r>
                            <w:rPr>
                              <w:sz w:val="16"/>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12.8pt;margin-top:804.9pt;width:11.8pt;height:10.9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uWrg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" filled="f" stroked="f">
              <v:textbox inset="0,0,0,0">
                <w:txbxContent>
                  <w:p w:rsidR="00354C39" w:rsidRDefault="00576D21">
                    <w:pPr>
                      <w:spacing w:before="14"/>
                      <w:ind w:left="20"/>
                      <w:rPr>
                        <w:sz w:val="16"/>
                      </w:rPr>
                    </w:pPr>
                    <w:r>
                      <w:rPr>
                        <w:sz w:val="16"/>
                      </w:rPr>
                      <w:t>V4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94" w:rsidRDefault="006B6F09">
      <w:r>
        <w:separator/>
      </w:r>
    </w:p>
  </w:footnote>
  <w:footnote w:type="continuationSeparator" w:id="0">
    <w:p w:rsidR="00262E94" w:rsidRDefault="006B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21" w:rsidRDefault="006B6F09">
    <w:pPr>
      <w:pStyle w:val="Header"/>
    </w:pPr>
    <w:r>
      <w:rPr>
        <w:noProof/>
        <w:lang w:bidi="ar-SA"/>
      </w:rPr>
      <mc:AlternateContent>
        <mc:Choice Requires="wps">
          <w:drawing>
            <wp:anchor distT="0" distB="0" distL="114300" distR="114300" simplePos="0" relativeHeight="503311744" behindDoc="0" locked="0" layoutInCell="1" allowOverlap="1">
              <wp:simplePos x="0" y="0"/>
              <wp:positionH relativeFrom="column">
                <wp:posOffset>-125730</wp:posOffset>
              </wp:positionH>
              <wp:positionV relativeFrom="paragraph">
                <wp:posOffset>-33655</wp:posOffset>
              </wp:positionV>
              <wp:extent cx="1987550" cy="866775"/>
              <wp:effectExtent l="7620" t="9525"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66775"/>
                      </a:xfrm>
                      <a:prstGeom prst="rect">
                        <a:avLst/>
                      </a:prstGeom>
                      <a:solidFill>
                        <a:srgbClr val="FFFFFF"/>
                      </a:solidFill>
                      <a:ln w="9525">
                        <a:solidFill>
                          <a:srgbClr val="000000"/>
                        </a:solidFill>
                        <a:miter lim="800000"/>
                        <a:headEnd/>
                        <a:tailEnd/>
                      </a:ln>
                    </wps:spPr>
                    <wps:txbx>
                      <w:txbxContent>
                        <w:p w:rsidR="006B6F09" w:rsidRPr="006B6F09" w:rsidRDefault="006B6F09" w:rsidP="006B6F09">
                          <w:pPr>
                            <w:spacing w:line="245" w:lineRule="exact"/>
                            <w:ind w:left="20"/>
                            <w:rPr>
                              <w:rFonts w:ascii="Calibri"/>
                              <w:b/>
                            </w:rPr>
                          </w:pPr>
                          <w:r w:rsidRPr="006B6F09">
                            <w:rPr>
                              <w:rFonts w:ascii="Calibri"/>
                              <w:b/>
                            </w:rPr>
                            <w:t>Policy Category:</w:t>
                          </w:r>
                        </w:p>
                        <w:p w:rsidR="006B6F09" w:rsidRPr="006B6F09" w:rsidRDefault="006B6F09" w:rsidP="006B6F09">
                          <w:pPr>
                            <w:spacing w:before="36"/>
                            <w:ind w:left="20"/>
                            <w:rPr>
                              <w:rFonts w:ascii="Calibri"/>
                              <w:b/>
                            </w:rPr>
                          </w:pPr>
                          <w:r w:rsidRPr="006B6F09">
                            <w:rPr>
                              <w:rFonts w:ascii="Calibri"/>
                              <w:b/>
                              <w:color w:val="FF0000"/>
                            </w:rPr>
                            <w:t>CBA</w:t>
                          </w:r>
                        </w:p>
                        <w:p w:rsidR="006B6F09" w:rsidRPr="006B6F09" w:rsidRDefault="006B6F09" w:rsidP="006B6F09">
                          <w:pPr>
                            <w:spacing w:before="41" w:line="276" w:lineRule="auto"/>
                            <w:ind w:left="20" w:right="1"/>
                            <w:rPr>
                              <w:rFonts w:ascii="Calibri"/>
                              <w:b/>
                            </w:rPr>
                          </w:pPr>
                          <w:r w:rsidRPr="006B6F09">
                            <w:rPr>
                              <w:rFonts w:ascii="Calibri"/>
                              <w:b/>
                            </w:rPr>
                            <w:t xml:space="preserve">Who usually applies for funding? </w:t>
                          </w:r>
                          <w:r w:rsidRPr="006B6F09">
                            <w:rPr>
                              <w:rFonts w:ascii="Calibri"/>
                              <w:b/>
                              <w:color w:val="FF0000"/>
                            </w:rPr>
                            <w:t>Not applicable</w:t>
                          </w:r>
                        </w:p>
                        <w:p w:rsidR="006B6F09" w:rsidRDefault="006B6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9pt;margin-top:-2.65pt;width:156.5pt;height:68.25pt;z-index:5033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">
              <v:textbox>
                <w:txbxContent>
                  <w:p w:rsidR="006B6F09" w:rsidRPr="006B6F09" w:rsidRDefault="006B6F09" w:rsidP="006B6F09">
                    <w:pPr>
                      <w:spacing w:line="245" w:lineRule="exact"/>
                      <w:ind w:left="20"/>
                      <w:rPr>
                        <w:rFonts w:ascii="Calibri"/>
                        <w:b/>
                      </w:rPr>
                    </w:pPr>
                    <w:r w:rsidRPr="006B6F09">
                      <w:rPr>
                        <w:rFonts w:ascii="Calibri"/>
                        <w:b/>
                      </w:rPr>
                      <w:t>Policy Category:</w:t>
                    </w:r>
                  </w:p>
                  <w:p w:rsidR="006B6F09" w:rsidRPr="006B6F09" w:rsidRDefault="006B6F09" w:rsidP="006B6F09">
                    <w:pPr>
                      <w:spacing w:before="36"/>
                      <w:ind w:left="20"/>
                      <w:rPr>
                        <w:rFonts w:ascii="Calibri"/>
                        <w:b/>
                      </w:rPr>
                    </w:pPr>
                    <w:r w:rsidRPr="006B6F09">
                      <w:rPr>
                        <w:rFonts w:ascii="Calibri"/>
                        <w:b/>
                        <w:color w:val="FF0000"/>
                      </w:rPr>
                      <w:t>CBA</w:t>
                    </w:r>
                  </w:p>
                  <w:p w:rsidR="006B6F09" w:rsidRPr="006B6F09" w:rsidRDefault="006B6F09" w:rsidP="006B6F09">
                    <w:pPr>
                      <w:spacing w:before="41" w:line="276" w:lineRule="auto"/>
                      <w:ind w:left="20" w:right="1"/>
                      <w:rPr>
                        <w:rFonts w:ascii="Calibri"/>
                        <w:b/>
                      </w:rPr>
                    </w:pPr>
                    <w:r w:rsidRPr="006B6F09">
                      <w:rPr>
                        <w:rFonts w:ascii="Calibri"/>
                        <w:b/>
                      </w:rPr>
                      <w:t xml:space="preserve">Who usually applies for funding? </w:t>
                    </w:r>
                    <w:r w:rsidRPr="006B6F09">
                      <w:rPr>
                        <w:rFonts w:ascii="Calibri"/>
                        <w:b/>
                        <w:color w:val="FF0000"/>
                      </w:rPr>
                      <w:t>Not applicable</w:t>
                    </w:r>
                  </w:p>
                  <w:p w:rsidR="006B6F09" w:rsidRDefault="006B6F0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3422"/>
    <w:multiLevelType w:val="hybridMultilevel"/>
    <w:tmpl w:val="664A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51F27"/>
    <w:multiLevelType w:val="hybridMultilevel"/>
    <w:tmpl w:val="9DCC13B8"/>
    <w:lvl w:ilvl="0" w:tplc="C54A4648">
      <w:start w:val="1"/>
      <w:numFmt w:val="decimal"/>
      <w:lvlText w:val="%1)"/>
      <w:lvlJc w:val="left"/>
      <w:pPr>
        <w:ind w:left="103" w:hanging="317"/>
      </w:pPr>
      <w:rPr>
        <w:rFonts w:ascii="Arial" w:eastAsia="Arial" w:hAnsi="Arial" w:cs="Arial" w:hint="default"/>
        <w:spacing w:val="-1"/>
        <w:w w:val="100"/>
        <w:sz w:val="22"/>
        <w:szCs w:val="22"/>
        <w:lang w:val="en-GB" w:eastAsia="en-GB" w:bidi="en-GB"/>
      </w:rPr>
    </w:lvl>
    <w:lvl w:ilvl="1" w:tplc="9C1674A0">
      <w:numFmt w:val="bullet"/>
      <w:lvlText w:val="•"/>
      <w:lvlJc w:val="left"/>
      <w:pPr>
        <w:ind w:left="1013" w:hanging="317"/>
      </w:pPr>
      <w:rPr>
        <w:rFonts w:hint="default"/>
        <w:lang w:val="en-GB" w:eastAsia="en-GB" w:bidi="en-GB"/>
      </w:rPr>
    </w:lvl>
    <w:lvl w:ilvl="2" w:tplc="947CDC5C">
      <w:numFmt w:val="bullet"/>
      <w:lvlText w:val="•"/>
      <w:lvlJc w:val="left"/>
      <w:pPr>
        <w:ind w:left="1926" w:hanging="317"/>
      </w:pPr>
      <w:rPr>
        <w:rFonts w:hint="default"/>
        <w:lang w:val="en-GB" w:eastAsia="en-GB" w:bidi="en-GB"/>
      </w:rPr>
    </w:lvl>
    <w:lvl w:ilvl="3" w:tplc="76B6C166">
      <w:numFmt w:val="bullet"/>
      <w:lvlText w:val="•"/>
      <w:lvlJc w:val="left"/>
      <w:pPr>
        <w:ind w:left="2840" w:hanging="317"/>
      </w:pPr>
      <w:rPr>
        <w:rFonts w:hint="default"/>
        <w:lang w:val="en-GB" w:eastAsia="en-GB" w:bidi="en-GB"/>
      </w:rPr>
    </w:lvl>
    <w:lvl w:ilvl="4" w:tplc="E5C2D878">
      <w:numFmt w:val="bullet"/>
      <w:lvlText w:val="•"/>
      <w:lvlJc w:val="left"/>
      <w:pPr>
        <w:ind w:left="3753" w:hanging="317"/>
      </w:pPr>
      <w:rPr>
        <w:rFonts w:hint="default"/>
        <w:lang w:val="en-GB" w:eastAsia="en-GB" w:bidi="en-GB"/>
      </w:rPr>
    </w:lvl>
    <w:lvl w:ilvl="5" w:tplc="F6826B14">
      <w:numFmt w:val="bullet"/>
      <w:lvlText w:val="•"/>
      <w:lvlJc w:val="left"/>
      <w:pPr>
        <w:ind w:left="4667" w:hanging="317"/>
      </w:pPr>
      <w:rPr>
        <w:rFonts w:hint="default"/>
        <w:lang w:val="en-GB" w:eastAsia="en-GB" w:bidi="en-GB"/>
      </w:rPr>
    </w:lvl>
    <w:lvl w:ilvl="6" w:tplc="791C843C">
      <w:numFmt w:val="bullet"/>
      <w:lvlText w:val="•"/>
      <w:lvlJc w:val="left"/>
      <w:pPr>
        <w:ind w:left="5580" w:hanging="317"/>
      </w:pPr>
      <w:rPr>
        <w:rFonts w:hint="default"/>
        <w:lang w:val="en-GB" w:eastAsia="en-GB" w:bidi="en-GB"/>
      </w:rPr>
    </w:lvl>
    <w:lvl w:ilvl="7" w:tplc="637C1734">
      <w:numFmt w:val="bullet"/>
      <w:lvlText w:val="•"/>
      <w:lvlJc w:val="left"/>
      <w:pPr>
        <w:ind w:left="6494" w:hanging="317"/>
      </w:pPr>
      <w:rPr>
        <w:rFonts w:hint="default"/>
        <w:lang w:val="en-GB" w:eastAsia="en-GB" w:bidi="en-GB"/>
      </w:rPr>
    </w:lvl>
    <w:lvl w:ilvl="8" w:tplc="AB403C6E">
      <w:numFmt w:val="bullet"/>
      <w:lvlText w:val="•"/>
      <w:lvlJc w:val="left"/>
      <w:pPr>
        <w:ind w:left="7407" w:hanging="317"/>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39"/>
    <w:rsid w:val="001729F0"/>
    <w:rsid w:val="00262E94"/>
    <w:rsid w:val="003210D8"/>
    <w:rsid w:val="00354C39"/>
    <w:rsid w:val="00424343"/>
    <w:rsid w:val="00576D21"/>
    <w:rsid w:val="006B6F09"/>
    <w:rsid w:val="00B96342"/>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4" w:lineRule="exact"/>
      <w:ind w:left="107"/>
    </w:pPr>
  </w:style>
  <w:style w:type="paragraph" w:styleId="BalloonText">
    <w:name w:val="Balloon Text"/>
    <w:basedOn w:val="Normal"/>
    <w:link w:val="BalloonTextChar"/>
    <w:uiPriority w:val="99"/>
    <w:semiHidden/>
    <w:unhideWhenUsed/>
    <w:rsid w:val="00B96342"/>
    <w:rPr>
      <w:rFonts w:ascii="Tahoma" w:hAnsi="Tahoma" w:cs="Tahoma"/>
      <w:sz w:val="16"/>
      <w:szCs w:val="16"/>
    </w:rPr>
  </w:style>
  <w:style w:type="character" w:customStyle="1" w:styleId="BalloonTextChar">
    <w:name w:val="Balloon Text Char"/>
    <w:basedOn w:val="DefaultParagraphFont"/>
    <w:link w:val="BalloonText"/>
    <w:uiPriority w:val="99"/>
    <w:semiHidden/>
    <w:rsid w:val="00B96342"/>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76D21"/>
    <w:pPr>
      <w:tabs>
        <w:tab w:val="center" w:pos="4513"/>
        <w:tab w:val="right" w:pos="9026"/>
      </w:tabs>
    </w:pPr>
  </w:style>
  <w:style w:type="character" w:customStyle="1" w:styleId="HeaderChar">
    <w:name w:val="Header Char"/>
    <w:basedOn w:val="DefaultParagraphFont"/>
    <w:link w:val="Header"/>
    <w:uiPriority w:val="99"/>
    <w:rsid w:val="00576D21"/>
    <w:rPr>
      <w:rFonts w:ascii="Arial" w:eastAsia="Arial" w:hAnsi="Arial" w:cs="Arial"/>
      <w:lang w:val="en-GB" w:eastAsia="en-GB" w:bidi="en-GB"/>
    </w:rPr>
  </w:style>
  <w:style w:type="paragraph" w:styleId="Footer">
    <w:name w:val="footer"/>
    <w:basedOn w:val="Normal"/>
    <w:link w:val="FooterChar"/>
    <w:uiPriority w:val="99"/>
    <w:unhideWhenUsed/>
    <w:rsid w:val="00576D21"/>
    <w:pPr>
      <w:tabs>
        <w:tab w:val="center" w:pos="4513"/>
        <w:tab w:val="right" w:pos="9026"/>
      </w:tabs>
    </w:pPr>
  </w:style>
  <w:style w:type="character" w:customStyle="1" w:styleId="FooterChar">
    <w:name w:val="Footer Char"/>
    <w:basedOn w:val="DefaultParagraphFont"/>
    <w:link w:val="Footer"/>
    <w:uiPriority w:val="99"/>
    <w:rsid w:val="00576D21"/>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4" w:lineRule="exact"/>
      <w:ind w:left="107"/>
    </w:pPr>
  </w:style>
  <w:style w:type="paragraph" w:styleId="BalloonText">
    <w:name w:val="Balloon Text"/>
    <w:basedOn w:val="Normal"/>
    <w:link w:val="BalloonTextChar"/>
    <w:uiPriority w:val="99"/>
    <w:semiHidden/>
    <w:unhideWhenUsed/>
    <w:rsid w:val="00B96342"/>
    <w:rPr>
      <w:rFonts w:ascii="Tahoma" w:hAnsi="Tahoma" w:cs="Tahoma"/>
      <w:sz w:val="16"/>
      <w:szCs w:val="16"/>
    </w:rPr>
  </w:style>
  <w:style w:type="character" w:customStyle="1" w:styleId="BalloonTextChar">
    <w:name w:val="Balloon Text Char"/>
    <w:basedOn w:val="DefaultParagraphFont"/>
    <w:link w:val="BalloonText"/>
    <w:uiPriority w:val="99"/>
    <w:semiHidden/>
    <w:rsid w:val="00B96342"/>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76D21"/>
    <w:pPr>
      <w:tabs>
        <w:tab w:val="center" w:pos="4513"/>
        <w:tab w:val="right" w:pos="9026"/>
      </w:tabs>
    </w:pPr>
  </w:style>
  <w:style w:type="character" w:customStyle="1" w:styleId="HeaderChar">
    <w:name w:val="Header Char"/>
    <w:basedOn w:val="DefaultParagraphFont"/>
    <w:link w:val="Header"/>
    <w:uiPriority w:val="99"/>
    <w:rsid w:val="00576D21"/>
    <w:rPr>
      <w:rFonts w:ascii="Arial" w:eastAsia="Arial" w:hAnsi="Arial" w:cs="Arial"/>
      <w:lang w:val="en-GB" w:eastAsia="en-GB" w:bidi="en-GB"/>
    </w:rPr>
  </w:style>
  <w:style w:type="paragraph" w:styleId="Footer">
    <w:name w:val="footer"/>
    <w:basedOn w:val="Normal"/>
    <w:link w:val="FooterChar"/>
    <w:uiPriority w:val="99"/>
    <w:unhideWhenUsed/>
    <w:rsid w:val="00576D21"/>
    <w:pPr>
      <w:tabs>
        <w:tab w:val="center" w:pos="4513"/>
        <w:tab w:val="right" w:pos="9026"/>
      </w:tabs>
    </w:pPr>
  </w:style>
  <w:style w:type="character" w:customStyle="1" w:styleId="FooterChar">
    <w:name w:val="Footer Char"/>
    <w:basedOn w:val="DefaultParagraphFont"/>
    <w:link w:val="Footer"/>
    <w:uiPriority w:val="99"/>
    <w:rsid w:val="00576D2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CCG.IFR@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mc-uk.org/guidance/ethical_guidance/prescriptions_faqs.asp" TargetMode="External"/><Relationship Id="rId4" Type="http://schemas.openxmlformats.org/officeDocument/2006/relationships/settings" Target="settings.xml"/><Relationship Id="rId9" Type="http://schemas.openxmlformats.org/officeDocument/2006/relationships/hyperlink" Target="http://www.gmc-uk.org/guidance/ethical_guidance/prescriptions_faq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2020-08-19T09:43:00Z</dcterms:created>
  <dcterms:modified xsi:type="dcterms:W3CDTF">2020-08-19T09:43:00Z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2020-07-28T00:00:00Z</vt:filetime>
  </property>
</Properties>
</file>