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F0" w:rsidRDefault="006E71C2">
      <w:pPr>
        <w:spacing w:before="36"/>
        <w:ind w:left="220"/>
        <w:rPr>
          <w:sz w:val="24"/>
        </w:rPr>
      </w:pPr>
      <w:r>
        <w:rPr>
          <w:noProof/>
          <w:lang w:bidi="ar-SA"/>
        </w:rPr>
        <w:drawing>
          <wp:anchor distT="0" distB="0" distL="0" distR="0" simplePos="0" relativeHeight="251661312" behindDoc="0" locked="0" layoutInCell="1" allowOverlap="1">
            <wp:simplePos x="0" y="0"/>
            <wp:positionH relativeFrom="page">
              <wp:posOffset>4737210</wp:posOffset>
            </wp:positionH>
            <wp:positionV relativeFrom="page">
              <wp:posOffset>476104</wp:posOffset>
            </wp:positionV>
            <wp:extent cx="2527019" cy="664147"/>
            <wp:effectExtent l="0" t="0" r="0" b="0"/>
            <wp:wrapNone/>
            <wp:docPr id="1" name="image1.jpeg"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27019" cy="664147"/>
                    </a:xfrm>
                    <a:prstGeom prst="rect">
                      <a:avLst/>
                    </a:prstGeom>
                  </pic:spPr>
                </pic:pic>
              </a:graphicData>
            </a:graphic>
          </wp:anchor>
        </w:drawing>
      </w:r>
      <w:r>
        <w:rPr>
          <w:w w:val="99"/>
          <w:sz w:val="24"/>
        </w:rPr>
        <w:t>-</w:t>
      </w:r>
    </w:p>
    <w:p w:rsidR="00F228F0" w:rsidRDefault="00F228F0">
      <w:pPr>
        <w:pStyle w:val="BodyText"/>
        <w:spacing w:before="1"/>
        <w:rPr>
          <w:sz w:val="21"/>
        </w:rPr>
      </w:pPr>
    </w:p>
    <w:p w:rsidR="00F228F0" w:rsidRDefault="006E71C2">
      <w:pPr>
        <w:ind w:left="2981" w:right="2981"/>
        <w:jc w:val="center"/>
        <w:rPr>
          <w:b/>
          <w:sz w:val="24"/>
        </w:rPr>
      </w:pPr>
      <w:r>
        <w:rPr>
          <w:b/>
          <w:sz w:val="24"/>
        </w:rPr>
        <w:t>Grommet Insertion in Children</w:t>
      </w:r>
    </w:p>
    <w:p w:rsidR="00F228F0" w:rsidRDefault="00F228F0">
      <w:pPr>
        <w:pStyle w:val="BodyText"/>
        <w:rPr>
          <w:b/>
          <w:sz w:val="20"/>
        </w:rPr>
      </w:pPr>
    </w:p>
    <w:p w:rsidR="00F228F0" w:rsidRDefault="00F228F0">
      <w:pPr>
        <w:pStyle w:val="BodyText"/>
        <w:spacing w:before="5"/>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0"/>
      </w:tblGrid>
      <w:tr w:rsidR="00F228F0">
        <w:trPr>
          <w:trHeight w:val="1012"/>
        </w:trPr>
        <w:tc>
          <w:tcPr>
            <w:tcW w:w="2093" w:type="dxa"/>
            <w:shd w:val="clear" w:color="auto" w:fill="DADADA"/>
          </w:tcPr>
          <w:p w:rsidR="00F228F0" w:rsidRDefault="006E71C2">
            <w:pPr>
              <w:pStyle w:val="TableParagraph"/>
              <w:spacing w:line="240" w:lineRule="auto"/>
              <w:ind w:right="155"/>
              <w:rPr>
                <w:b/>
                <w:sz w:val="24"/>
              </w:rPr>
            </w:pPr>
            <w:r>
              <w:rPr>
                <w:b/>
                <w:sz w:val="24"/>
              </w:rPr>
              <w:t>Commissioning decision</w:t>
            </w:r>
          </w:p>
        </w:tc>
        <w:tc>
          <w:tcPr>
            <w:tcW w:w="7150" w:type="dxa"/>
          </w:tcPr>
          <w:p w:rsidR="00F228F0" w:rsidRDefault="006E71C2">
            <w:pPr>
              <w:pStyle w:val="TableParagraph"/>
              <w:spacing w:line="240" w:lineRule="auto"/>
              <w:ind w:right="167"/>
              <w:rPr>
                <w:b/>
              </w:rPr>
            </w:pPr>
            <w:r>
              <w:rPr>
                <w:b/>
              </w:rPr>
              <w:t>The CCG will provide funding for grommet insertion in children under the age of 12 years old who meet the criteria defined within this policy. Funding approval for eligible patients must be sought</w:t>
            </w:r>
          </w:p>
          <w:p w:rsidR="00F228F0" w:rsidRDefault="006E71C2">
            <w:pPr>
              <w:pStyle w:val="TableParagraph"/>
              <w:spacing w:line="238" w:lineRule="exact"/>
              <w:rPr>
                <w:b/>
              </w:rPr>
            </w:pPr>
            <w:proofErr w:type="gramStart"/>
            <w:r>
              <w:rPr>
                <w:b/>
              </w:rPr>
              <w:t>from</w:t>
            </w:r>
            <w:proofErr w:type="gramEnd"/>
            <w:r>
              <w:rPr>
                <w:b/>
              </w:rPr>
              <w:t xml:space="preserve"> the CCG via the Prior Approval process prior to treatment.</w:t>
            </w:r>
          </w:p>
        </w:tc>
      </w:tr>
    </w:tbl>
    <w:p w:rsidR="00F228F0" w:rsidRDefault="00F228F0">
      <w:pPr>
        <w:pStyle w:val="BodyText"/>
        <w:spacing w:before="4"/>
        <w:rPr>
          <w:b/>
          <w:sz w:val="19"/>
        </w:rPr>
      </w:pPr>
    </w:p>
    <w:p w:rsidR="00F228F0" w:rsidRDefault="009F3ADF">
      <w:pPr>
        <w:spacing w:before="92"/>
        <w:ind w:left="220"/>
        <w:rPr>
          <w:b/>
          <w:sz w:val="24"/>
        </w:rPr>
      </w:pPr>
      <w:r>
        <w:rPr>
          <w:noProof/>
          <w:lang w:bidi="ar-SA"/>
        </w:rPr>
        <mc:AlternateContent>
          <mc:Choice Requires="wps">
            <w:drawing>
              <wp:anchor distT="0" distB="0" distL="0" distR="0" simplePos="0" relativeHeight="251658240" behindDoc="1" locked="0" layoutInCell="1" allowOverlap="1">
                <wp:simplePos x="0" y="0"/>
                <wp:positionH relativeFrom="page">
                  <wp:posOffset>842645</wp:posOffset>
                </wp:positionH>
                <wp:positionV relativeFrom="paragraph">
                  <wp:posOffset>260985</wp:posOffset>
                </wp:positionV>
                <wp:extent cx="5869305" cy="5454015"/>
                <wp:effectExtent l="0" t="0" r="17145" b="13335"/>
                <wp:wrapTopAndBottom/>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5454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28F0" w:rsidRDefault="006E71C2">
                            <w:pPr>
                              <w:pStyle w:val="BodyText"/>
                              <w:spacing w:line="242" w:lineRule="auto"/>
                              <w:ind w:left="103" w:right="220"/>
                            </w:pPr>
                            <w:r>
                              <w:t>Funded for recurrent otitis media with effusion (OME) for children under the age of 12 years when there has been:</w:t>
                            </w:r>
                          </w:p>
                          <w:p w:rsidR="00F228F0" w:rsidRDefault="00F228F0">
                            <w:pPr>
                              <w:pStyle w:val="BodyText"/>
                              <w:spacing w:before="5"/>
                              <w:rPr>
                                <w:sz w:val="21"/>
                              </w:rPr>
                            </w:pPr>
                          </w:p>
                          <w:p w:rsidR="00F228F0" w:rsidRDefault="006E71C2">
                            <w:pPr>
                              <w:pStyle w:val="BodyText"/>
                              <w:numPr>
                                <w:ilvl w:val="0"/>
                                <w:numId w:val="1"/>
                              </w:numPr>
                              <w:tabs>
                                <w:tab w:val="left" w:pos="811"/>
                                <w:tab w:val="left" w:pos="812"/>
                              </w:tabs>
                              <w:spacing w:line="237" w:lineRule="auto"/>
                              <w:ind w:right="272"/>
                              <w:rPr>
                                <w:b/>
                              </w:rPr>
                            </w:pPr>
                            <w:r>
                              <w:t xml:space="preserve">confirmed diagnosis of OME followed by two visits to Audiology at least 3 months apart from the date of the first appointment with the GP and then referral for surgery </w:t>
                            </w:r>
                            <w:r>
                              <w:rPr>
                                <w:b/>
                              </w:rPr>
                              <w:t>PLUS</w:t>
                            </w:r>
                            <w:r>
                              <w:rPr>
                                <w:b/>
                                <w:spacing w:val="-1"/>
                              </w:rPr>
                              <w:t xml:space="preserve"> </w:t>
                            </w:r>
                            <w:r>
                              <w:rPr>
                                <w:b/>
                              </w:rPr>
                              <w:t>EITHER</w:t>
                            </w:r>
                          </w:p>
                          <w:p w:rsidR="00F228F0" w:rsidRDefault="006E71C2">
                            <w:pPr>
                              <w:pStyle w:val="BodyText"/>
                              <w:numPr>
                                <w:ilvl w:val="0"/>
                                <w:numId w:val="1"/>
                              </w:numPr>
                              <w:tabs>
                                <w:tab w:val="left" w:pos="811"/>
                                <w:tab w:val="left" w:pos="812"/>
                              </w:tabs>
                              <w:spacing w:before="7" w:line="237" w:lineRule="auto"/>
                              <w:ind w:right="420"/>
                            </w:pPr>
                            <w:r>
                              <w:t xml:space="preserve">diagnosis of persistent bilateral OME with a hearing level in the better ear of 25-30 </w:t>
                            </w:r>
                            <w:proofErr w:type="spellStart"/>
                            <w:r>
                              <w:t>dBHL</w:t>
                            </w:r>
                            <w:proofErr w:type="spellEnd"/>
                            <w:r>
                              <w:t xml:space="preserve"> or</w:t>
                            </w:r>
                            <w:r>
                              <w:rPr>
                                <w:spacing w:val="1"/>
                              </w:rPr>
                              <w:t xml:space="preserve"> </w:t>
                            </w:r>
                            <w:r>
                              <w:t>worse</w:t>
                            </w:r>
                          </w:p>
                          <w:p w:rsidR="00F228F0" w:rsidRDefault="006E71C2">
                            <w:pPr>
                              <w:spacing w:line="252" w:lineRule="exact"/>
                              <w:ind w:left="823"/>
                              <w:rPr>
                                <w:b/>
                              </w:rPr>
                            </w:pPr>
                            <w:r>
                              <w:rPr>
                                <w:b/>
                              </w:rPr>
                              <w:t>OR</w:t>
                            </w:r>
                          </w:p>
                          <w:p w:rsidR="00F228F0" w:rsidRDefault="006E71C2">
                            <w:pPr>
                              <w:pStyle w:val="BodyText"/>
                              <w:numPr>
                                <w:ilvl w:val="0"/>
                                <w:numId w:val="1"/>
                              </w:numPr>
                              <w:tabs>
                                <w:tab w:val="left" w:pos="811"/>
                                <w:tab w:val="left" w:pos="812"/>
                              </w:tabs>
                              <w:spacing w:before="1"/>
                              <w:ind w:right="407"/>
                            </w:pPr>
                            <w:r>
                              <w:t xml:space="preserve">diagnosis of persistent bilateral OME with a hearing level of less than 25-30 </w:t>
                            </w:r>
                            <w:proofErr w:type="spellStart"/>
                            <w:r>
                              <w:t>dBHL</w:t>
                            </w:r>
                            <w:proofErr w:type="spellEnd"/>
                            <w:r>
                              <w:t xml:space="preserve"> which is having a significant impact on the child’s developmental, social or educational</w:t>
                            </w:r>
                            <w:r>
                              <w:rPr>
                                <w:spacing w:val="-1"/>
                              </w:rPr>
                              <w:t xml:space="preserve"> </w:t>
                            </w:r>
                            <w:r>
                              <w:t>status</w:t>
                            </w:r>
                          </w:p>
                          <w:p w:rsidR="00F228F0" w:rsidRDefault="00F228F0">
                            <w:pPr>
                              <w:pStyle w:val="BodyText"/>
                              <w:spacing w:before="11"/>
                              <w:rPr>
                                <w:sz w:val="21"/>
                              </w:rPr>
                            </w:pPr>
                          </w:p>
                          <w:p w:rsidR="00F228F0" w:rsidRDefault="006E71C2">
                            <w:pPr>
                              <w:pStyle w:val="BodyText"/>
                              <w:ind w:left="103" w:right="135" w:hanging="1"/>
                            </w:pPr>
                            <w:r>
                              <w:t xml:space="preserve">The guidance is different for children with </w:t>
                            </w:r>
                            <w:proofErr w:type="gramStart"/>
                            <w:r>
                              <w:t>Down’s Syndrome</w:t>
                            </w:r>
                            <w:proofErr w:type="gramEnd"/>
                            <w:r>
                              <w:t xml:space="preserve"> and Cleft Palate; these children may be offered grommets after a specialist MDT assessment in line with NICE guidance.</w:t>
                            </w:r>
                          </w:p>
                          <w:p w:rsidR="00F228F0" w:rsidRDefault="00F228F0">
                            <w:pPr>
                              <w:pStyle w:val="BodyText"/>
                              <w:spacing w:before="10"/>
                              <w:rPr>
                                <w:sz w:val="21"/>
                              </w:rPr>
                            </w:pPr>
                          </w:p>
                          <w:p w:rsidR="00F228F0" w:rsidRDefault="006E71C2">
                            <w:pPr>
                              <w:pStyle w:val="BodyText"/>
                              <w:spacing w:before="1"/>
                              <w:ind w:left="103" w:right="194"/>
                            </w:pPr>
                            <w:r>
                              <w:t>It is also good practice to ensure glue ear has not resolved once a date of surgery has been agreed, with tympanometry as a minimum.</w:t>
                            </w:r>
                          </w:p>
                          <w:p w:rsidR="00F228F0" w:rsidRDefault="00F228F0">
                            <w:pPr>
                              <w:pStyle w:val="BodyText"/>
                            </w:pPr>
                          </w:p>
                          <w:p w:rsidR="00F228F0" w:rsidRDefault="006E71C2">
                            <w:pPr>
                              <w:pStyle w:val="BodyText"/>
                              <w:ind w:left="103" w:right="341"/>
                            </w:pPr>
                            <w:r>
                              <w:t>Adjuvant adenoidectomy is not recommended in the absence of persistent and/or frequent upper respiratory tract infections.</w:t>
                            </w:r>
                          </w:p>
                          <w:p w:rsidR="003F5080" w:rsidRDefault="003F5080">
                            <w:pPr>
                              <w:pStyle w:val="BodyText"/>
                              <w:ind w:left="103" w:right="341"/>
                            </w:pPr>
                          </w:p>
                          <w:p w:rsidR="003F5080" w:rsidRDefault="003F5080">
                            <w:pPr>
                              <w:pStyle w:val="BodyText"/>
                              <w:ind w:left="103" w:right="341"/>
                            </w:pPr>
                            <w:r>
                              <w:t>Adjuvant adenoidectomy should not be routinely performed in children undergoing grommet insertion for the treatment of otitis media with effusion.</w:t>
                            </w:r>
                          </w:p>
                          <w:p w:rsidR="003F5080" w:rsidRDefault="003F5080">
                            <w:pPr>
                              <w:pStyle w:val="BodyText"/>
                              <w:ind w:left="103" w:right="341"/>
                            </w:pPr>
                          </w:p>
                          <w:p w:rsidR="003F5080" w:rsidRDefault="003F5080">
                            <w:pPr>
                              <w:pStyle w:val="BodyText"/>
                              <w:ind w:left="103" w:right="341"/>
                            </w:pPr>
                            <w:r>
                              <w:t>Adjuvant adenoidectomy for the treatment of glue ear should only be offered when one or more of the following clinical criteria are met:</w:t>
                            </w:r>
                          </w:p>
                          <w:p w:rsidR="003F5080" w:rsidRDefault="003F5080" w:rsidP="003F5080">
                            <w:pPr>
                              <w:pStyle w:val="BodyText"/>
                              <w:numPr>
                                <w:ilvl w:val="0"/>
                                <w:numId w:val="2"/>
                              </w:numPr>
                              <w:ind w:right="341"/>
                            </w:pPr>
                            <w:r>
                              <w:t>The child has persistent and / or frequent nasal obstruction which is contributed to by adenoidal hypertrophy (enlargement)</w:t>
                            </w:r>
                          </w:p>
                          <w:p w:rsidR="003F5080" w:rsidRDefault="003F5080" w:rsidP="003F5080">
                            <w:pPr>
                              <w:pStyle w:val="BodyText"/>
                              <w:numPr>
                                <w:ilvl w:val="0"/>
                                <w:numId w:val="2"/>
                              </w:numPr>
                              <w:ind w:right="341"/>
                            </w:pPr>
                            <w:r>
                              <w:t>The child is undergoing surgery for re-insertion of grommets due to recurrence of previously surgically treated otitis media with effusion</w:t>
                            </w:r>
                          </w:p>
                          <w:p w:rsidR="003F5080" w:rsidRDefault="003F5080" w:rsidP="003F5080">
                            <w:pPr>
                              <w:pStyle w:val="BodyText"/>
                              <w:numPr>
                                <w:ilvl w:val="0"/>
                                <w:numId w:val="2"/>
                              </w:numPr>
                              <w:ind w:right="341"/>
                            </w:pPr>
                            <w:r>
                              <w:t>The child is undergoing grommet surgery for treatment of recurrent acute otitis media</w:t>
                            </w:r>
                          </w:p>
                          <w:p w:rsidR="003F5080" w:rsidRDefault="003F5080">
                            <w:pPr>
                              <w:pStyle w:val="BodyText"/>
                              <w:ind w:left="103" w:right="341"/>
                            </w:pPr>
                          </w:p>
                          <w:p w:rsidR="003F5080" w:rsidRDefault="003F5080">
                            <w:pPr>
                              <w:pStyle w:val="BodyText"/>
                              <w:ind w:left="103" w:right="34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6.35pt;margin-top:20.55pt;width:462.15pt;height:42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" filled="f" strokeweight=".48pt">
                <v:textbox inset="0,0,0,0">
                  <w:txbxContent>
                    <w:p w:rsidR="00F228F0" w:rsidRDefault="006E71C2">
                      <w:pPr>
                        <w:pStyle w:val="BodyText"/>
                        <w:spacing w:line="242" w:lineRule="auto"/>
                        <w:ind w:left="103" w:right="220"/>
                      </w:pPr>
                      <w:r>
                        <w:t>Funded for recurrent otitis media with effusion (OME) for children under the age of 12 years when there has been:</w:t>
                      </w:r>
                    </w:p>
                    <w:p w:rsidR="00F228F0" w:rsidRDefault="00F228F0">
                      <w:pPr>
                        <w:pStyle w:val="BodyText"/>
                        <w:spacing w:before="5"/>
                        <w:rPr>
                          <w:sz w:val="21"/>
                        </w:rPr>
                      </w:pPr>
                    </w:p>
                    <w:p w:rsidR="00F228F0" w:rsidRDefault="006E71C2">
                      <w:pPr>
                        <w:pStyle w:val="BodyText"/>
                        <w:numPr>
                          <w:ilvl w:val="0"/>
                          <w:numId w:val="1"/>
                        </w:numPr>
                        <w:tabs>
                          <w:tab w:val="left" w:pos="811"/>
                          <w:tab w:val="left" w:pos="812"/>
                        </w:tabs>
                        <w:spacing w:line="237" w:lineRule="auto"/>
                        <w:ind w:right="272"/>
                        <w:rPr>
                          <w:b/>
                        </w:rPr>
                      </w:pPr>
                      <w:r>
                        <w:t xml:space="preserve">confirmed diagnosis of OME followed by two visits to Audiology at least 3 months apart from the date of the first appointment with the GP and then referral for surgery </w:t>
                      </w:r>
                      <w:r>
                        <w:rPr>
                          <w:b/>
                        </w:rPr>
                        <w:t>PLUS</w:t>
                      </w:r>
                      <w:r>
                        <w:rPr>
                          <w:b/>
                          <w:spacing w:val="-1"/>
                        </w:rPr>
                        <w:t xml:space="preserve"> </w:t>
                      </w:r>
                      <w:r>
                        <w:rPr>
                          <w:b/>
                        </w:rPr>
                        <w:t>EITHER</w:t>
                      </w:r>
                    </w:p>
                    <w:p w:rsidR="00F228F0" w:rsidRDefault="006E71C2">
                      <w:pPr>
                        <w:pStyle w:val="BodyText"/>
                        <w:numPr>
                          <w:ilvl w:val="0"/>
                          <w:numId w:val="1"/>
                        </w:numPr>
                        <w:tabs>
                          <w:tab w:val="left" w:pos="811"/>
                          <w:tab w:val="left" w:pos="812"/>
                        </w:tabs>
                        <w:spacing w:before="7" w:line="237" w:lineRule="auto"/>
                        <w:ind w:right="420"/>
                      </w:pPr>
                      <w:r>
                        <w:t>diagnosis of persistent bilateral OME with a hearing level in the better ear</w:t>
                      </w:r>
                      <w:r>
                        <w:t xml:space="preserve"> of 25-30 </w:t>
                      </w:r>
                      <w:proofErr w:type="spellStart"/>
                      <w:r>
                        <w:t>dBHL</w:t>
                      </w:r>
                      <w:proofErr w:type="spellEnd"/>
                      <w:r>
                        <w:t xml:space="preserve"> or</w:t>
                      </w:r>
                      <w:r>
                        <w:rPr>
                          <w:spacing w:val="1"/>
                        </w:rPr>
                        <w:t xml:space="preserve"> </w:t>
                      </w:r>
                      <w:r>
                        <w:t>worse</w:t>
                      </w:r>
                    </w:p>
                    <w:p w:rsidR="00F228F0" w:rsidRDefault="006E71C2">
                      <w:pPr>
                        <w:spacing w:line="252" w:lineRule="exact"/>
                        <w:ind w:left="823"/>
                        <w:rPr>
                          <w:b/>
                        </w:rPr>
                      </w:pPr>
                      <w:r>
                        <w:rPr>
                          <w:b/>
                        </w:rPr>
                        <w:t>OR</w:t>
                      </w:r>
                    </w:p>
                    <w:p w:rsidR="00F228F0" w:rsidRDefault="006E71C2">
                      <w:pPr>
                        <w:pStyle w:val="BodyText"/>
                        <w:numPr>
                          <w:ilvl w:val="0"/>
                          <w:numId w:val="1"/>
                        </w:numPr>
                        <w:tabs>
                          <w:tab w:val="left" w:pos="811"/>
                          <w:tab w:val="left" w:pos="812"/>
                        </w:tabs>
                        <w:spacing w:before="1"/>
                        <w:ind w:right="407"/>
                      </w:pPr>
                      <w:r>
                        <w:t xml:space="preserve">diagnosis of persistent bilateral OME with a hearing level of less than 25-30 </w:t>
                      </w:r>
                      <w:proofErr w:type="spellStart"/>
                      <w:r>
                        <w:t>dBHL</w:t>
                      </w:r>
                      <w:proofErr w:type="spellEnd"/>
                      <w:r>
                        <w:t xml:space="preserve"> which is having a significant impact on the child’s developmental, social or educational</w:t>
                      </w:r>
                      <w:r>
                        <w:rPr>
                          <w:spacing w:val="-1"/>
                        </w:rPr>
                        <w:t xml:space="preserve"> </w:t>
                      </w:r>
                      <w:r>
                        <w:t>status</w:t>
                      </w:r>
                    </w:p>
                    <w:p w:rsidR="00F228F0" w:rsidRDefault="00F228F0">
                      <w:pPr>
                        <w:pStyle w:val="BodyText"/>
                        <w:spacing w:before="11"/>
                        <w:rPr>
                          <w:sz w:val="21"/>
                        </w:rPr>
                      </w:pPr>
                    </w:p>
                    <w:p w:rsidR="00F228F0" w:rsidRDefault="006E71C2">
                      <w:pPr>
                        <w:pStyle w:val="BodyText"/>
                        <w:ind w:left="103" w:right="135" w:hanging="1"/>
                      </w:pPr>
                      <w:r>
                        <w:t xml:space="preserve">The guidance is different for children with </w:t>
                      </w:r>
                      <w:proofErr w:type="gramStart"/>
                      <w:r>
                        <w:t>Down’</w:t>
                      </w:r>
                      <w:r>
                        <w:t>s Syndrome</w:t>
                      </w:r>
                      <w:proofErr w:type="gramEnd"/>
                      <w:r>
                        <w:t xml:space="preserve"> and Cleft Palate; these children may be offered grommets after a specialist MDT assessment in line with NICE guidance.</w:t>
                      </w:r>
                    </w:p>
                    <w:p w:rsidR="00F228F0" w:rsidRDefault="00F228F0">
                      <w:pPr>
                        <w:pStyle w:val="BodyText"/>
                        <w:spacing w:before="10"/>
                        <w:rPr>
                          <w:sz w:val="21"/>
                        </w:rPr>
                      </w:pPr>
                    </w:p>
                    <w:p w:rsidR="00F228F0" w:rsidRDefault="006E71C2">
                      <w:pPr>
                        <w:pStyle w:val="BodyText"/>
                        <w:spacing w:before="1"/>
                        <w:ind w:left="103" w:right="194"/>
                      </w:pPr>
                      <w:r>
                        <w:t>It is also good practice to ensure glue ear has not resolved once a date of surgery has been agreed, with tympanometry as a m</w:t>
                      </w:r>
                      <w:r>
                        <w:t>inimum.</w:t>
                      </w:r>
                    </w:p>
                    <w:p w:rsidR="00F228F0" w:rsidRDefault="00F228F0">
                      <w:pPr>
                        <w:pStyle w:val="BodyText"/>
                      </w:pPr>
                    </w:p>
                    <w:p w:rsidR="00F228F0" w:rsidRDefault="006E71C2">
                      <w:pPr>
                        <w:pStyle w:val="BodyText"/>
                        <w:ind w:left="103" w:right="341"/>
                      </w:pPr>
                      <w:r>
                        <w:t>Adjuvant adenoidectomy is not recommended in the absence of persistent and/or frequent upper respiratory tract infections.</w:t>
                      </w:r>
                    </w:p>
                    <w:p w:rsidR="003F5080" w:rsidRDefault="003F5080">
                      <w:pPr>
                        <w:pStyle w:val="BodyText"/>
                        <w:ind w:left="103" w:right="341"/>
                      </w:pPr>
                    </w:p>
                    <w:p w:rsidR="003F5080" w:rsidRDefault="003F5080">
                      <w:pPr>
                        <w:pStyle w:val="BodyText"/>
                        <w:ind w:left="103" w:right="341"/>
                      </w:pPr>
                      <w:r>
                        <w:t>Adjuvant adenoidectomy should not be routinely performed in children undergoing grommet insertion for the treatment of otitis media with effusion.</w:t>
                      </w:r>
                    </w:p>
                    <w:p w:rsidR="003F5080" w:rsidRDefault="003F5080">
                      <w:pPr>
                        <w:pStyle w:val="BodyText"/>
                        <w:ind w:left="103" w:right="341"/>
                      </w:pPr>
                    </w:p>
                    <w:p w:rsidR="003F5080" w:rsidRDefault="003F5080">
                      <w:pPr>
                        <w:pStyle w:val="BodyText"/>
                        <w:ind w:left="103" w:right="341"/>
                      </w:pPr>
                      <w:r>
                        <w:t>Adjuvant adenoidectomy for the treatment of glue ear should only be offered when one or more of the following clinical criteria are met:</w:t>
                      </w:r>
                    </w:p>
                    <w:p w:rsidR="003F5080" w:rsidRDefault="003F5080" w:rsidP="003F5080">
                      <w:pPr>
                        <w:pStyle w:val="BodyText"/>
                        <w:numPr>
                          <w:ilvl w:val="0"/>
                          <w:numId w:val="2"/>
                        </w:numPr>
                        <w:ind w:right="341"/>
                      </w:pPr>
                      <w:r>
                        <w:t>The child has persistent and / or frequent nasal obstruction which is contributed to by adenoidal hypertrophy (enlargement)</w:t>
                      </w:r>
                    </w:p>
                    <w:p w:rsidR="003F5080" w:rsidRDefault="003F5080" w:rsidP="003F5080">
                      <w:pPr>
                        <w:pStyle w:val="BodyText"/>
                        <w:numPr>
                          <w:ilvl w:val="0"/>
                          <w:numId w:val="2"/>
                        </w:numPr>
                        <w:ind w:right="341"/>
                      </w:pPr>
                      <w:r>
                        <w:t>The child is undergoing surgery for re-insertion of grommets due to recurrence of previously surgically treated otitis media with effusion</w:t>
                      </w:r>
                    </w:p>
                    <w:p w:rsidR="003F5080" w:rsidRDefault="003F5080" w:rsidP="003F5080">
                      <w:pPr>
                        <w:pStyle w:val="BodyText"/>
                        <w:numPr>
                          <w:ilvl w:val="0"/>
                          <w:numId w:val="2"/>
                        </w:numPr>
                        <w:ind w:right="341"/>
                      </w:pPr>
                      <w:r>
                        <w:t>The child is undergoing grommet surgery for treatment of recurrent acute otitis media</w:t>
                      </w:r>
                    </w:p>
                    <w:p w:rsidR="003F5080" w:rsidRDefault="003F5080">
                      <w:pPr>
                        <w:pStyle w:val="BodyText"/>
                        <w:ind w:left="103" w:right="341"/>
                      </w:pPr>
                    </w:p>
                    <w:p w:rsidR="003F5080" w:rsidRDefault="003F5080">
                      <w:pPr>
                        <w:pStyle w:val="BodyText"/>
                        <w:ind w:left="103" w:right="341"/>
                      </w:pPr>
                    </w:p>
                  </w:txbxContent>
                </v:textbox>
                <w10:wrap type="topAndBottom" anchorx="page"/>
              </v:shape>
            </w:pict>
          </mc:Fallback>
        </mc:AlternateContent>
      </w:r>
      <w:r w:rsidR="006E71C2">
        <w:rPr>
          <w:b/>
          <w:sz w:val="24"/>
        </w:rPr>
        <w:t>Policy Statement:</w:t>
      </w:r>
    </w:p>
    <w:p w:rsidR="00F228F0" w:rsidRDefault="00F228F0">
      <w:pPr>
        <w:pStyle w:val="BodyText"/>
        <w:rPr>
          <w:b/>
          <w:sz w:val="17"/>
        </w:rPr>
      </w:pPr>
    </w:p>
    <w:p w:rsidR="00F228F0" w:rsidRDefault="009F3ADF">
      <w:pPr>
        <w:spacing w:before="92"/>
        <w:ind w:left="220"/>
        <w:rPr>
          <w:b/>
          <w:sz w:val="24"/>
        </w:rPr>
      </w:pPr>
      <w:r>
        <w:rPr>
          <w:noProof/>
          <w:lang w:bidi="ar-SA"/>
        </w:rPr>
        <mc:AlternateContent>
          <mc:Choice Requires="wps">
            <w:drawing>
              <wp:anchor distT="0" distB="0" distL="0" distR="0" simplePos="0" relativeHeight="251659264" behindDoc="1" locked="0" layoutInCell="1" allowOverlap="1">
                <wp:simplePos x="0" y="0"/>
                <wp:positionH relativeFrom="page">
                  <wp:posOffset>845820</wp:posOffset>
                </wp:positionH>
                <wp:positionV relativeFrom="paragraph">
                  <wp:posOffset>264160</wp:posOffset>
                </wp:positionV>
                <wp:extent cx="5869305" cy="1130935"/>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1309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28F0" w:rsidRDefault="006E71C2">
                            <w:pPr>
                              <w:pStyle w:val="BodyText"/>
                              <w:ind w:left="102" w:right="189"/>
                            </w:pPr>
                            <w:r>
                              <w:t>This is a surgical procedure to insert tiny tubes (grommets) into the eardrum as a treatment for fluid build-up (glue ear) when it is affecting hearing in children. In most cases glue ear will improve by itself without surgery. In children with persistent glue ear a hearing aid is another suitable alternative to surgery. Evidence suggests that grommets only offer a short- term hearing improvement in children with no other serious medical problems or disabilities. Surgical management is funded in line with NICE Clinical Guidance on Surgical management of otitis media with effusion in children</w:t>
                            </w:r>
                            <w:r>
                              <w:rPr>
                                <w:spacing w:val="-5"/>
                              </w:rPr>
                              <w:t xml:space="preserve"> </w:t>
                            </w:r>
                            <w:r>
                              <w:t>(CG60).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6.6pt;margin-top:20.8pt;width:462.15pt;height:8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" filled="f" strokeweight=".48pt">
                <v:textbox inset="0,0,0,0">
                  <w:txbxContent>
                    <w:p w:rsidR="00F228F0" w:rsidRDefault="006E71C2">
                      <w:pPr>
                        <w:pStyle w:val="BodyText"/>
                        <w:ind w:left="102" w:right="189"/>
                      </w:pPr>
                      <w:r>
                        <w:t xml:space="preserve">This is a surgical procedure to insert tiny tubes (grommets) into the eardrum as a treatment for fluid build-up (glue ear) when it is affecting hearing in children. In most cases glue ear will improve by itself without surgery. In children with persistent </w:t>
                      </w:r>
                      <w:r>
                        <w:t>glue ear a hearing aid is another suitable alternative to surgery. Evidence suggests that grommets only offer a short- term hearing improvement in children with no other serious medical problems or disabilities. Surgical management is funded in line with N</w:t>
                      </w:r>
                      <w:r>
                        <w:t>ICE Clinical Guidance on Surgical management of otitis media with effusion in children</w:t>
                      </w:r>
                      <w:r>
                        <w:rPr>
                          <w:spacing w:val="-5"/>
                        </w:rPr>
                        <w:t xml:space="preserve"> </w:t>
                      </w:r>
                      <w:r>
                        <w:t>(CG60).</w:t>
                      </w:r>
                    </w:p>
                  </w:txbxContent>
                </v:textbox>
                <w10:wrap type="topAndBottom" anchorx="page"/>
              </v:shape>
            </w:pict>
          </mc:Fallback>
        </mc:AlternateContent>
      </w:r>
      <w:r w:rsidR="006E71C2">
        <w:rPr>
          <w:b/>
          <w:sz w:val="24"/>
        </w:rPr>
        <w:t>Rationale:</w:t>
      </w:r>
    </w:p>
    <w:p w:rsidR="00F228F0" w:rsidRDefault="00F228F0">
      <w:pPr>
        <w:pStyle w:val="BodyText"/>
        <w:spacing w:before="9"/>
        <w:rPr>
          <w:b/>
          <w:sz w:val="16"/>
        </w:rPr>
      </w:pPr>
    </w:p>
    <w:p w:rsidR="0072082D" w:rsidRDefault="0072082D" w:rsidP="0072082D">
      <w:pPr>
        <w:pStyle w:val="BodyText"/>
        <w:spacing w:line="278" w:lineRule="auto"/>
        <w:ind w:right="97"/>
      </w:pPr>
      <w:r>
        <w:rPr>
          <w:b/>
          <w:sz w:val="24"/>
        </w:rPr>
        <w:t>Plain English Summary:</w:t>
      </w:r>
    </w:p>
    <w:p w:rsidR="0072082D" w:rsidRDefault="0072082D" w:rsidP="0072082D">
      <w:pPr>
        <w:pStyle w:val="BodyText"/>
        <w:spacing w:before="10"/>
        <w:rPr>
          <w:sz w:val="26"/>
        </w:rPr>
      </w:pPr>
    </w:p>
    <w:tbl>
      <w:tblPr>
        <w:tblStyle w:val="TableGrid"/>
        <w:tblW w:w="0" w:type="auto"/>
        <w:tblLook w:val="04A0" w:firstRow="1" w:lastRow="0" w:firstColumn="1" w:lastColumn="0" w:noHBand="0" w:noVBand="1"/>
      </w:tblPr>
      <w:tblGrid>
        <w:gridCol w:w="9686"/>
      </w:tblGrid>
      <w:tr w:rsidR="0072082D" w:rsidTr="000E34A0">
        <w:trPr>
          <w:trHeight w:val="9391"/>
        </w:trPr>
        <w:tc>
          <w:tcPr>
            <w:tcW w:w="9686" w:type="dxa"/>
          </w:tcPr>
          <w:p w:rsidR="0072082D" w:rsidRDefault="0072082D" w:rsidP="000E34A0">
            <w:pPr>
              <w:pStyle w:val="BodyText"/>
              <w:spacing w:line="278" w:lineRule="auto"/>
              <w:ind w:right="97"/>
            </w:pPr>
            <w:r>
              <w:t xml:space="preserve">Otitis media with effusion (OME) more commonly known as ‘glue ear’ is where there is a </w:t>
            </w:r>
            <w:proofErr w:type="spellStart"/>
            <w:r>
              <w:t>buildup</w:t>
            </w:r>
            <w:proofErr w:type="spellEnd"/>
            <w:r>
              <w:t xml:space="preserve"> of non-infected fluid in the middle ear space. This fluid may accumulate as a result of a cold, sore throat or upper respiratory infection. It can occur in one or both ears and usually affects children, but may occasionally occur in adults. It can cause temporary hearing loss, but usually clears up within 3 months. In children who have persistent symptoms it may be appropriate to operate and insert small temporary tubes called ‘grommets’ into the ear which help drain fluid away.</w:t>
            </w:r>
          </w:p>
          <w:p w:rsidR="000E34A0" w:rsidRDefault="000E34A0" w:rsidP="000E34A0">
            <w:pPr>
              <w:pStyle w:val="BodyText"/>
              <w:spacing w:line="278" w:lineRule="auto"/>
              <w:ind w:right="97"/>
            </w:pPr>
          </w:p>
          <w:p w:rsidR="0072082D" w:rsidRDefault="000E34A0" w:rsidP="000E34A0">
            <w:r>
              <w:t>This policy outlines when ‘grommet’ insertion surgery may be appropriate for children under the age of 12 years.</w:t>
            </w:r>
          </w:p>
          <w:p w:rsidR="000E34A0" w:rsidRDefault="000E34A0" w:rsidP="000E34A0">
            <w:pPr>
              <w:rPr>
                <w:sz w:val="24"/>
              </w:rPr>
            </w:pPr>
          </w:p>
          <w:p w:rsidR="000E34A0" w:rsidRDefault="000E34A0" w:rsidP="000E34A0">
            <w:pPr>
              <w:pStyle w:val="BodyText"/>
              <w:spacing w:line="276" w:lineRule="auto"/>
              <w:ind w:right="364"/>
              <w:jc w:val="both"/>
            </w:pPr>
            <w:r>
              <w:t>To be eligible for grommet insertion your child will need to have two hearing tests at least 3 months apart to measure their degree of hearing loss. Hearing loss is measured in decibels Hearing Level (</w:t>
            </w:r>
            <w:proofErr w:type="spellStart"/>
            <w:r>
              <w:t>dBHL</w:t>
            </w:r>
            <w:proofErr w:type="spellEnd"/>
            <w:r>
              <w:t xml:space="preserve">), which is a measure of the quietest sounds that your child can detect This </w:t>
            </w:r>
            <w:proofErr w:type="gramStart"/>
            <w:r>
              <w:t>test</w:t>
            </w:r>
            <w:proofErr w:type="gramEnd"/>
            <w:r>
              <w:t xml:space="preserve"> will need to show at least mild hearing loss. The table below is a guide to levels of hearing loss measured in </w:t>
            </w:r>
            <w:proofErr w:type="spellStart"/>
            <w:r>
              <w:t>dBHL</w:t>
            </w:r>
            <w:proofErr w:type="spellEnd"/>
            <w:r>
              <w:t>.</w:t>
            </w:r>
          </w:p>
          <w:p w:rsidR="000E34A0" w:rsidRDefault="000E34A0" w:rsidP="000E34A0">
            <w:pPr>
              <w:pStyle w:val="BodyText"/>
              <w:spacing w:line="276" w:lineRule="auto"/>
              <w:ind w:right="364"/>
              <w:jc w:val="both"/>
            </w:pPr>
          </w:p>
          <w:p w:rsidR="000E34A0" w:rsidRDefault="000E34A0" w:rsidP="000E34A0">
            <w:pPr>
              <w:pStyle w:val="BodyText"/>
              <w:spacing w:line="276" w:lineRule="auto"/>
              <w:ind w:right="266"/>
            </w:pPr>
            <w:r>
              <w:t>If your child’s hearing tests reveal a level of slight hearing loss then grommet insertion may still be considered if this lower level of hearing loss is still causing notable difficulties for your child in terms of social or educational development.</w:t>
            </w:r>
          </w:p>
          <w:p w:rsidR="000E34A0" w:rsidRDefault="000E34A0" w:rsidP="000E34A0">
            <w:pPr>
              <w:pStyle w:val="BodyText"/>
              <w:spacing w:line="276" w:lineRule="auto"/>
              <w:ind w:right="364"/>
              <w:jc w:val="both"/>
            </w:pPr>
          </w:p>
          <w:tbl>
            <w:tblPr>
              <w:tblStyle w:val="TableGrid"/>
              <w:tblW w:w="0" w:type="auto"/>
              <w:tblLook w:val="04A0" w:firstRow="1" w:lastRow="0" w:firstColumn="1" w:lastColumn="0" w:noHBand="0" w:noVBand="1"/>
            </w:tblPr>
            <w:tblGrid>
              <w:gridCol w:w="4727"/>
              <w:gridCol w:w="3206"/>
            </w:tblGrid>
            <w:tr w:rsidR="000E34A0" w:rsidTr="000E34A0">
              <w:tc>
                <w:tcPr>
                  <w:tcW w:w="4727" w:type="dxa"/>
                </w:tcPr>
                <w:p w:rsidR="000E34A0" w:rsidRPr="000E34A0" w:rsidRDefault="000E34A0">
                  <w:pPr>
                    <w:rPr>
                      <w:b/>
                    </w:rPr>
                  </w:pPr>
                  <w:r w:rsidRPr="000E34A0">
                    <w:rPr>
                      <w:b/>
                    </w:rPr>
                    <w:t>Degree of hearing loss</w:t>
                  </w:r>
                </w:p>
              </w:tc>
              <w:tc>
                <w:tcPr>
                  <w:tcW w:w="3206" w:type="dxa"/>
                </w:tcPr>
                <w:p w:rsidR="000E34A0" w:rsidRPr="000E34A0" w:rsidRDefault="000E34A0">
                  <w:pPr>
                    <w:rPr>
                      <w:b/>
                    </w:rPr>
                  </w:pPr>
                  <w:r w:rsidRPr="000E34A0">
                    <w:rPr>
                      <w:b/>
                    </w:rPr>
                    <w:t>Hearing loss range (dB HL)</w:t>
                  </w:r>
                </w:p>
              </w:tc>
            </w:tr>
            <w:tr w:rsidR="000E34A0" w:rsidTr="000E34A0">
              <w:tc>
                <w:tcPr>
                  <w:tcW w:w="4727" w:type="dxa"/>
                </w:tcPr>
                <w:p w:rsidR="000E34A0" w:rsidRPr="000E34A0" w:rsidRDefault="000E34A0">
                  <w:r>
                    <w:t>Normal hearing</w:t>
                  </w:r>
                </w:p>
              </w:tc>
              <w:tc>
                <w:tcPr>
                  <w:tcW w:w="3206" w:type="dxa"/>
                </w:tcPr>
                <w:p w:rsidR="000E34A0" w:rsidRPr="000E34A0" w:rsidRDefault="000E34A0">
                  <w:r>
                    <w:t>-10 to 20</w:t>
                  </w:r>
                </w:p>
              </w:tc>
            </w:tr>
            <w:tr w:rsidR="000E34A0" w:rsidTr="000E34A0">
              <w:tc>
                <w:tcPr>
                  <w:tcW w:w="4727" w:type="dxa"/>
                </w:tcPr>
                <w:p w:rsidR="000E34A0" w:rsidRPr="000E34A0" w:rsidRDefault="000E34A0">
                  <w:r>
                    <w:t>Slight hearing loss</w:t>
                  </w:r>
                </w:p>
              </w:tc>
              <w:tc>
                <w:tcPr>
                  <w:tcW w:w="3206" w:type="dxa"/>
                </w:tcPr>
                <w:p w:rsidR="000E34A0" w:rsidRPr="000E34A0" w:rsidRDefault="000E34A0">
                  <w:r>
                    <w:t>21 to 24</w:t>
                  </w:r>
                </w:p>
              </w:tc>
            </w:tr>
            <w:tr w:rsidR="000E34A0" w:rsidTr="000E34A0">
              <w:tc>
                <w:tcPr>
                  <w:tcW w:w="4727" w:type="dxa"/>
                </w:tcPr>
                <w:p w:rsidR="000E34A0" w:rsidRPr="000E34A0" w:rsidRDefault="000E34A0">
                  <w:r>
                    <w:t>Mild hearing loss</w:t>
                  </w:r>
                </w:p>
              </w:tc>
              <w:tc>
                <w:tcPr>
                  <w:tcW w:w="3206" w:type="dxa"/>
                </w:tcPr>
                <w:p w:rsidR="000E34A0" w:rsidRPr="000E34A0" w:rsidRDefault="000E34A0">
                  <w:r>
                    <w:t>25 to 40</w:t>
                  </w:r>
                </w:p>
              </w:tc>
            </w:tr>
            <w:tr w:rsidR="000E34A0" w:rsidTr="000E34A0">
              <w:tc>
                <w:tcPr>
                  <w:tcW w:w="4727" w:type="dxa"/>
                </w:tcPr>
                <w:p w:rsidR="000E34A0" w:rsidRDefault="000E34A0">
                  <w:r>
                    <w:t>Moderate hearing loss</w:t>
                  </w:r>
                </w:p>
              </w:tc>
              <w:tc>
                <w:tcPr>
                  <w:tcW w:w="3206" w:type="dxa"/>
                </w:tcPr>
                <w:p w:rsidR="000E34A0" w:rsidRDefault="000E34A0">
                  <w:r>
                    <w:t>41 to 55</w:t>
                  </w:r>
                </w:p>
              </w:tc>
            </w:tr>
            <w:tr w:rsidR="000E34A0" w:rsidTr="000E34A0">
              <w:tc>
                <w:tcPr>
                  <w:tcW w:w="4727" w:type="dxa"/>
                </w:tcPr>
                <w:p w:rsidR="000E34A0" w:rsidRDefault="000E34A0">
                  <w:r>
                    <w:t>Moderately severe hearing loss</w:t>
                  </w:r>
                </w:p>
              </w:tc>
              <w:tc>
                <w:tcPr>
                  <w:tcW w:w="3206" w:type="dxa"/>
                </w:tcPr>
                <w:p w:rsidR="000E34A0" w:rsidRDefault="000E34A0">
                  <w:r>
                    <w:t>56 to 70</w:t>
                  </w:r>
                </w:p>
              </w:tc>
            </w:tr>
            <w:tr w:rsidR="000E34A0" w:rsidTr="000E34A0">
              <w:tc>
                <w:tcPr>
                  <w:tcW w:w="4727" w:type="dxa"/>
                </w:tcPr>
                <w:p w:rsidR="000E34A0" w:rsidRDefault="000E34A0">
                  <w:r>
                    <w:t>Sever hearing loss</w:t>
                  </w:r>
                </w:p>
              </w:tc>
              <w:tc>
                <w:tcPr>
                  <w:tcW w:w="3206" w:type="dxa"/>
                </w:tcPr>
                <w:p w:rsidR="000E34A0" w:rsidRDefault="000E34A0">
                  <w:r>
                    <w:t>71 to 90</w:t>
                  </w:r>
                </w:p>
              </w:tc>
            </w:tr>
            <w:tr w:rsidR="000E34A0" w:rsidTr="000E34A0">
              <w:tc>
                <w:tcPr>
                  <w:tcW w:w="4727" w:type="dxa"/>
                </w:tcPr>
                <w:p w:rsidR="000E34A0" w:rsidRDefault="000E34A0">
                  <w:r>
                    <w:t>Profound deafness</w:t>
                  </w:r>
                </w:p>
              </w:tc>
              <w:tc>
                <w:tcPr>
                  <w:tcW w:w="3206" w:type="dxa"/>
                </w:tcPr>
                <w:p w:rsidR="000E34A0" w:rsidRDefault="000E34A0">
                  <w:r>
                    <w:t>91+</w:t>
                  </w:r>
                </w:p>
              </w:tc>
            </w:tr>
          </w:tbl>
          <w:p w:rsidR="0072082D" w:rsidRDefault="0072082D">
            <w:pPr>
              <w:rPr>
                <w:sz w:val="24"/>
              </w:rPr>
            </w:pPr>
          </w:p>
          <w:p w:rsidR="000E34A0" w:rsidRDefault="000E34A0">
            <w:pPr>
              <w:rPr>
                <w:sz w:val="24"/>
              </w:rPr>
            </w:pPr>
            <w:r>
              <w:rPr>
                <w:sz w:val="24"/>
              </w:rPr>
              <w:t>If your doctor believes that your child meets the criteria set out in this policy Gloucestershire Clinical Commissioning Group will fund the treatment.</w:t>
            </w:r>
          </w:p>
          <w:p w:rsidR="000E34A0" w:rsidRDefault="000E34A0">
            <w:pPr>
              <w:rPr>
                <w:sz w:val="24"/>
              </w:rPr>
            </w:pPr>
          </w:p>
        </w:tc>
      </w:tr>
    </w:tbl>
    <w:p w:rsidR="006E71C2" w:rsidRDefault="006E71C2" w:rsidP="006E71C2">
      <w:pPr>
        <w:pStyle w:val="BodyText"/>
        <w:spacing w:line="278" w:lineRule="auto"/>
        <w:ind w:right="97"/>
        <w:rPr>
          <w:sz w:val="24"/>
        </w:rPr>
      </w:pPr>
    </w:p>
    <w:p w:rsidR="00CF05E6" w:rsidRPr="00DD63E1" w:rsidRDefault="00CF05E6" w:rsidP="006E71C2">
      <w:pPr>
        <w:pStyle w:val="BodyText"/>
        <w:spacing w:line="278" w:lineRule="auto"/>
        <w:ind w:right="97"/>
        <w:rPr>
          <w:b/>
        </w:rPr>
      </w:pPr>
      <w:r w:rsidRPr="00DD63E1">
        <w:rPr>
          <w:b/>
        </w:rPr>
        <w:t>Evidence base</w:t>
      </w:r>
      <w:r w:rsidR="006E71C2">
        <w:rPr>
          <w:b/>
        </w:rPr>
        <w:t>:</w:t>
      </w:r>
    </w:p>
    <w:p w:rsidR="00CF05E6" w:rsidRDefault="00CF05E6" w:rsidP="00CF05E6">
      <w:pPr>
        <w:pStyle w:val="BodyText"/>
        <w:spacing w:line="278" w:lineRule="auto"/>
        <w:ind w:left="103" w:right="97"/>
      </w:pPr>
    </w:p>
    <w:tbl>
      <w:tblPr>
        <w:tblStyle w:val="TableGrid"/>
        <w:tblW w:w="0" w:type="auto"/>
        <w:tblInd w:w="-34" w:type="dxa"/>
        <w:tblLook w:val="04A0" w:firstRow="1" w:lastRow="0" w:firstColumn="1" w:lastColumn="0" w:noHBand="0" w:noVBand="1"/>
      </w:tblPr>
      <w:tblGrid>
        <w:gridCol w:w="9720"/>
      </w:tblGrid>
      <w:tr w:rsidR="00CF05E6" w:rsidTr="00CF05E6">
        <w:tc>
          <w:tcPr>
            <w:tcW w:w="9720" w:type="dxa"/>
          </w:tcPr>
          <w:p w:rsidR="00CF05E6" w:rsidRDefault="00CF05E6" w:rsidP="00135B6F">
            <w:pPr>
              <w:pStyle w:val="BodyText"/>
              <w:spacing w:line="242" w:lineRule="auto"/>
              <w:ind w:left="103" w:right="697"/>
            </w:pPr>
            <w:r>
              <w:t xml:space="preserve">NICE Guidance - </w:t>
            </w:r>
            <w:hyperlink r:id="rId9">
              <w:r>
                <w:rPr>
                  <w:color w:val="0000FF"/>
                  <w:u w:val="single" w:color="0000FF"/>
                </w:rPr>
                <w:t>Surgical management of otitis media with effusion in children (CG60)</w:t>
              </w:r>
            </w:hyperlink>
            <w:r>
              <w:rPr>
                <w:color w:val="0000FF"/>
              </w:rPr>
              <w:t xml:space="preserve"> </w:t>
            </w:r>
            <w:r>
              <w:t>February 2008 - (on static list)</w:t>
            </w:r>
          </w:p>
          <w:p w:rsidR="00CF05E6" w:rsidRDefault="00CF05E6" w:rsidP="00135B6F">
            <w:pPr>
              <w:pStyle w:val="BodyText"/>
              <w:spacing w:line="242" w:lineRule="auto"/>
              <w:ind w:left="103" w:right="697"/>
            </w:pPr>
          </w:p>
          <w:p w:rsidR="00CF05E6" w:rsidRDefault="00CF05E6" w:rsidP="00135B6F">
            <w:pPr>
              <w:pStyle w:val="BodyText"/>
              <w:ind w:left="103" w:right="1333"/>
            </w:pPr>
            <w:r>
              <w:t xml:space="preserve">Cochrane Library - </w:t>
            </w:r>
            <w:hyperlink r:id="rId10">
              <w:r>
                <w:rPr>
                  <w:color w:val="0000FF"/>
                  <w:u w:val="single" w:color="0000FF"/>
                </w:rPr>
                <w:t>http://ent.cochrane.org/guidelines</w:t>
              </w:r>
              <w:r>
                <w:rPr>
                  <w:color w:val="0000FF"/>
                </w:rPr>
                <w:t xml:space="preserve"> </w:t>
              </w:r>
            </w:hyperlink>
            <w:r>
              <w:t>Otitis Media With Effusion: Comparative Effectiveness of Treatments.</w:t>
            </w:r>
          </w:p>
          <w:p w:rsidR="00CF05E6" w:rsidRDefault="00CF05E6" w:rsidP="00135B6F">
            <w:pPr>
              <w:pStyle w:val="BodyText"/>
              <w:spacing w:line="278" w:lineRule="auto"/>
              <w:ind w:right="97"/>
            </w:pPr>
          </w:p>
          <w:p w:rsidR="00CF05E6" w:rsidRDefault="00CF05E6" w:rsidP="00135B6F">
            <w:pPr>
              <w:pStyle w:val="BodyText"/>
              <w:ind w:left="103" w:right="220"/>
            </w:pPr>
            <w:r>
              <w:t>Similarity to policies in other local CCGs – Bristol, South Gloucestershire, Bath and North East Somerset, West Midlands, Oxfordshire.</w:t>
            </w:r>
          </w:p>
          <w:p w:rsidR="00CF05E6" w:rsidRDefault="00CF05E6" w:rsidP="00135B6F">
            <w:pPr>
              <w:pStyle w:val="BodyText"/>
              <w:spacing w:line="278" w:lineRule="auto"/>
              <w:ind w:right="97"/>
            </w:pPr>
          </w:p>
        </w:tc>
      </w:tr>
    </w:tbl>
    <w:p w:rsidR="00CF05E6" w:rsidRDefault="00CF05E6">
      <w:pPr>
        <w:rPr>
          <w:sz w:val="24"/>
        </w:rPr>
        <w:sectPr w:rsidR="00CF05E6">
          <w:headerReference w:type="default" r:id="rId11"/>
          <w:footerReference w:type="default" r:id="rId12"/>
          <w:type w:val="continuous"/>
          <w:pgSz w:w="11910" w:h="16840"/>
          <w:pgMar w:top="1700" w:right="1220" w:bottom="1200" w:left="1220" w:header="278" w:footer="1005" w:gutter="0"/>
          <w:pgNumType w:start="1"/>
          <w:cols w:space="720"/>
        </w:sectPr>
      </w:pPr>
    </w:p>
    <w:p w:rsidR="0072082D" w:rsidRDefault="0072082D" w:rsidP="0072082D">
      <w:pPr>
        <w:pStyle w:val="BodyText"/>
        <w:spacing w:line="278" w:lineRule="auto"/>
        <w:ind w:left="103" w:right="97"/>
      </w:pPr>
    </w:p>
    <w:p w:rsidR="00CF05E6" w:rsidRDefault="00CF05E6" w:rsidP="00DD63E1">
      <w:pPr>
        <w:pStyle w:val="BodyText"/>
        <w:spacing w:before="10"/>
        <w:rPr>
          <w:sz w:val="17"/>
        </w:rPr>
      </w:pPr>
    </w:p>
    <w:p w:rsidR="00CF05E6" w:rsidRDefault="00CF05E6" w:rsidP="00CF05E6">
      <w:pPr>
        <w:spacing w:before="92" w:line="276" w:lineRule="auto"/>
        <w:ind w:right="2837"/>
        <w:rPr>
          <w:sz w:val="24"/>
        </w:rPr>
      </w:pPr>
      <w:r>
        <w:rPr>
          <w:sz w:val="24"/>
        </w:rPr>
        <w:t xml:space="preserve">For further information please contact </w:t>
      </w:r>
      <w:hyperlink r:id="rId13">
        <w:r>
          <w:rPr>
            <w:color w:val="0000FF"/>
            <w:sz w:val="24"/>
            <w:u w:val="single" w:color="0000FF"/>
          </w:rPr>
          <w:t>GLCCG.IFR@nhs.net</w:t>
        </w:r>
      </w:hyperlink>
    </w:p>
    <w:p w:rsidR="00CF05E6" w:rsidRDefault="00CF05E6" w:rsidP="00DD63E1">
      <w:pPr>
        <w:pStyle w:val="BodyText"/>
        <w:spacing w:before="10"/>
        <w:rPr>
          <w:sz w:val="17"/>
        </w:rPr>
      </w:pPr>
    </w:p>
    <w:p w:rsidR="00CF05E6" w:rsidRDefault="00CF05E6" w:rsidP="00DD63E1">
      <w:pPr>
        <w:pStyle w:val="BodyText"/>
        <w:spacing w:before="10"/>
        <w:rPr>
          <w:sz w:val="17"/>
        </w:rPr>
      </w:pPr>
    </w:p>
    <w:tbl>
      <w:tblPr>
        <w:tblStyle w:val="TableGrid"/>
        <w:tblW w:w="9639" w:type="dxa"/>
        <w:tblInd w:w="108" w:type="dxa"/>
        <w:tblLook w:val="04A0" w:firstRow="1" w:lastRow="0" w:firstColumn="1" w:lastColumn="0" w:noHBand="0" w:noVBand="1"/>
      </w:tblPr>
      <w:tblGrid>
        <w:gridCol w:w="4735"/>
        <w:gridCol w:w="4904"/>
      </w:tblGrid>
      <w:tr w:rsidR="00CF05E6" w:rsidTr="00CF05E6">
        <w:tc>
          <w:tcPr>
            <w:tcW w:w="4735" w:type="dxa"/>
          </w:tcPr>
          <w:p w:rsidR="00CF05E6" w:rsidRPr="00DD63E1" w:rsidRDefault="00CF05E6" w:rsidP="00135B6F">
            <w:pPr>
              <w:rPr>
                <w:b/>
              </w:rPr>
            </w:pPr>
            <w:r>
              <w:rPr>
                <w:b/>
              </w:rPr>
              <w:t>Date of publication</w:t>
            </w:r>
          </w:p>
        </w:tc>
        <w:tc>
          <w:tcPr>
            <w:tcW w:w="4904" w:type="dxa"/>
          </w:tcPr>
          <w:p w:rsidR="00CF05E6" w:rsidRDefault="00CF05E6" w:rsidP="00135B6F">
            <w:r>
              <w:t>1 August 2015</w:t>
            </w:r>
          </w:p>
        </w:tc>
      </w:tr>
      <w:tr w:rsidR="00CF05E6" w:rsidTr="00CF05E6">
        <w:tc>
          <w:tcPr>
            <w:tcW w:w="4735" w:type="dxa"/>
          </w:tcPr>
          <w:p w:rsidR="00CF05E6" w:rsidRPr="00DD63E1" w:rsidRDefault="00CF05E6" w:rsidP="00135B6F">
            <w:pPr>
              <w:rPr>
                <w:b/>
              </w:rPr>
            </w:pPr>
            <w:r w:rsidRPr="00DD63E1">
              <w:rPr>
                <w:b/>
              </w:rPr>
              <w:t>Policy review date</w:t>
            </w:r>
          </w:p>
        </w:tc>
        <w:tc>
          <w:tcPr>
            <w:tcW w:w="4904" w:type="dxa"/>
          </w:tcPr>
          <w:p w:rsidR="00CF05E6" w:rsidRDefault="00CF05E6" w:rsidP="00135B6F">
            <w:r>
              <w:t>January 2023</w:t>
            </w:r>
          </w:p>
        </w:tc>
      </w:tr>
    </w:tbl>
    <w:p w:rsidR="00CF05E6" w:rsidRDefault="00CF05E6" w:rsidP="00DD63E1">
      <w:pPr>
        <w:pStyle w:val="BodyText"/>
        <w:spacing w:before="10"/>
        <w:rPr>
          <w:sz w:val="17"/>
        </w:rPr>
      </w:pPr>
    </w:p>
    <w:p w:rsidR="00CF05E6" w:rsidRDefault="00CF05E6" w:rsidP="00DD63E1">
      <w:pPr>
        <w:pStyle w:val="BodyText"/>
        <w:spacing w:before="10"/>
        <w:rPr>
          <w:sz w:val="17"/>
        </w:rPr>
      </w:pPr>
    </w:p>
    <w:p w:rsidR="00CF05E6" w:rsidRDefault="00CF05E6" w:rsidP="00CF05E6">
      <w:pPr>
        <w:rPr>
          <w:b/>
        </w:rPr>
      </w:pPr>
      <w:r>
        <w:rPr>
          <w:b/>
        </w:rPr>
        <w:t xml:space="preserve"> </w:t>
      </w:r>
      <w:r w:rsidRPr="00DD63E1">
        <w:rPr>
          <w:b/>
        </w:rPr>
        <w:t>Consultation</w:t>
      </w:r>
      <w:r w:rsidR="006E71C2">
        <w:rPr>
          <w:b/>
        </w:rPr>
        <w:t>:</w:t>
      </w:r>
    </w:p>
    <w:p w:rsidR="00CF05E6" w:rsidRDefault="00CF05E6" w:rsidP="00CF05E6">
      <w:pPr>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3"/>
        <w:gridCol w:w="3606"/>
      </w:tblGrid>
      <w:tr w:rsidR="00CF05E6" w:rsidTr="00CF05E6">
        <w:trPr>
          <w:trHeight w:val="251"/>
        </w:trPr>
        <w:tc>
          <w:tcPr>
            <w:tcW w:w="6033" w:type="dxa"/>
          </w:tcPr>
          <w:p w:rsidR="00CF05E6" w:rsidRDefault="00CF05E6" w:rsidP="00135B6F">
            <w:pPr>
              <w:pStyle w:val="TableParagraph"/>
              <w:spacing w:line="232" w:lineRule="exact"/>
              <w:rPr>
                <w:b/>
              </w:rPr>
            </w:pPr>
            <w:r>
              <w:rPr>
                <w:b/>
              </w:rPr>
              <w:t>Consultee</w:t>
            </w:r>
          </w:p>
        </w:tc>
        <w:tc>
          <w:tcPr>
            <w:tcW w:w="3606" w:type="dxa"/>
          </w:tcPr>
          <w:p w:rsidR="00CF05E6" w:rsidRDefault="00CF05E6" w:rsidP="00135B6F">
            <w:pPr>
              <w:pStyle w:val="TableParagraph"/>
              <w:spacing w:line="232" w:lineRule="exact"/>
              <w:rPr>
                <w:b/>
              </w:rPr>
            </w:pPr>
            <w:r>
              <w:rPr>
                <w:b/>
              </w:rPr>
              <w:t>Date</w:t>
            </w:r>
          </w:p>
        </w:tc>
      </w:tr>
      <w:tr w:rsidR="00CF05E6" w:rsidTr="00CF05E6">
        <w:trPr>
          <w:trHeight w:val="251"/>
        </w:trPr>
        <w:tc>
          <w:tcPr>
            <w:tcW w:w="6033" w:type="dxa"/>
          </w:tcPr>
          <w:p w:rsidR="00CF05E6" w:rsidRDefault="00CF05E6" w:rsidP="00135B6F">
            <w:pPr>
              <w:pStyle w:val="TableParagraph"/>
              <w:spacing w:line="232" w:lineRule="exact"/>
              <w:rPr>
                <w:b/>
              </w:rPr>
            </w:pPr>
          </w:p>
          <w:p w:rsidR="00CF05E6" w:rsidRDefault="00CF05E6" w:rsidP="00135B6F">
            <w:pPr>
              <w:pStyle w:val="TableParagraph"/>
              <w:spacing w:line="232" w:lineRule="exact"/>
              <w:rPr>
                <w:b/>
              </w:rPr>
            </w:pPr>
          </w:p>
          <w:p w:rsidR="00CF05E6" w:rsidRDefault="00CF05E6" w:rsidP="00135B6F">
            <w:pPr>
              <w:pStyle w:val="TableParagraph"/>
              <w:spacing w:line="232" w:lineRule="exact"/>
              <w:rPr>
                <w:b/>
              </w:rPr>
            </w:pPr>
          </w:p>
        </w:tc>
        <w:tc>
          <w:tcPr>
            <w:tcW w:w="3606" w:type="dxa"/>
          </w:tcPr>
          <w:p w:rsidR="00CF05E6" w:rsidRDefault="00CF05E6" w:rsidP="00135B6F">
            <w:pPr>
              <w:pStyle w:val="TableParagraph"/>
              <w:spacing w:line="232" w:lineRule="exact"/>
              <w:rPr>
                <w:b/>
              </w:rPr>
            </w:pPr>
          </w:p>
        </w:tc>
      </w:tr>
      <w:tr w:rsidR="00CF05E6" w:rsidTr="00CF05E6">
        <w:trPr>
          <w:trHeight w:val="253"/>
        </w:trPr>
        <w:tc>
          <w:tcPr>
            <w:tcW w:w="6033" w:type="dxa"/>
          </w:tcPr>
          <w:p w:rsidR="00CF05E6" w:rsidRDefault="00CF05E6" w:rsidP="00135B6F">
            <w:pPr>
              <w:pStyle w:val="TableParagraph"/>
            </w:pPr>
            <w:r>
              <w:t>Planned Care Programme Board</w:t>
            </w:r>
          </w:p>
        </w:tc>
        <w:tc>
          <w:tcPr>
            <w:tcW w:w="3606" w:type="dxa"/>
          </w:tcPr>
          <w:p w:rsidR="00CF05E6" w:rsidRDefault="00CF05E6" w:rsidP="00135B6F">
            <w:pPr>
              <w:pStyle w:val="TableParagraph"/>
            </w:pPr>
            <w:r>
              <w:t>31</w:t>
            </w:r>
            <w:r>
              <w:rPr>
                <w:vertAlign w:val="superscript"/>
              </w:rPr>
              <w:t>st</w:t>
            </w:r>
            <w:r>
              <w:t xml:space="preserve"> March 2015 (virtual)</w:t>
            </w:r>
          </w:p>
        </w:tc>
      </w:tr>
      <w:tr w:rsidR="00CF05E6" w:rsidTr="00CF05E6">
        <w:trPr>
          <w:trHeight w:val="251"/>
        </w:trPr>
        <w:tc>
          <w:tcPr>
            <w:tcW w:w="6033" w:type="dxa"/>
          </w:tcPr>
          <w:p w:rsidR="00CF05E6" w:rsidRDefault="00CF05E6" w:rsidP="00135B6F">
            <w:pPr>
              <w:pStyle w:val="TableParagraph"/>
              <w:spacing w:line="232" w:lineRule="exact"/>
            </w:pPr>
            <w:r>
              <w:t>CCG Governing Body Development Session</w:t>
            </w:r>
          </w:p>
        </w:tc>
        <w:tc>
          <w:tcPr>
            <w:tcW w:w="3606" w:type="dxa"/>
          </w:tcPr>
          <w:p w:rsidR="00CF05E6" w:rsidRDefault="00CF05E6" w:rsidP="00135B6F">
            <w:pPr>
              <w:pStyle w:val="TableParagraph"/>
              <w:spacing w:line="232" w:lineRule="exact"/>
            </w:pPr>
            <w:r>
              <w:t>4th June 2015</w:t>
            </w:r>
          </w:p>
        </w:tc>
      </w:tr>
      <w:tr w:rsidR="00CF05E6" w:rsidTr="00CF05E6">
        <w:trPr>
          <w:trHeight w:val="253"/>
        </w:trPr>
        <w:tc>
          <w:tcPr>
            <w:tcW w:w="6033" w:type="dxa"/>
          </w:tcPr>
          <w:p w:rsidR="00CF05E6" w:rsidRDefault="00CF05E6" w:rsidP="00135B6F">
            <w:pPr>
              <w:pStyle w:val="TableParagraph"/>
            </w:pPr>
            <w:r>
              <w:t>GHNHSFT (via General Manager/Head of Contracts)</w:t>
            </w:r>
          </w:p>
        </w:tc>
        <w:tc>
          <w:tcPr>
            <w:tcW w:w="3606" w:type="dxa"/>
          </w:tcPr>
          <w:p w:rsidR="00CF05E6" w:rsidRDefault="00CF05E6" w:rsidP="00135B6F">
            <w:pPr>
              <w:pStyle w:val="TableParagraph"/>
            </w:pPr>
            <w:r>
              <w:t>18/05/2015 – 29/05/2015</w:t>
            </w:r>
          </w:p>
        </w:tc>
      </w:tr>
      <w:tr w:rsidR="00CF05E6" w:rsidTr="00CF05E6">
        <w:trPr>
          <w:trHeight w:val="253"/>
        </w:trPr>
        <w:tc>
          <w:tcPr>
            <w:tcW w:w="6033" w:type="dxa"/>
          </w:tcPr>
          <w:p w:rsidR="00CF05E6" w:rsidRDefault="00CF05E6" w:rsidP="00135B6F">
            <w:pPr>
              <w:pStyle w:val="TableParagraph"/>
            </w:pPr>
            <w:r>
              <w:t>GP Membership (via CCG Live/What’s New This Week)</w:t>
            </w:r>
          </w:p>
        </w:tc>
        <w:tc>
          <w:tcPr>
            <w:tcW w:w="3606" w:type="dxa"/>
          </w:tcPr>
          <w:p w:rsidR="00CF05E6" w:rsidRDefault="00CF05E6" w:rsidP="00135B6F">
            <w:pPr>
              <w:pStyle w:val="TableParagraph"/>
            </w:pPr>
            <w:r>
              <w:t>06/05/2015 – 05/06/2015</w:t>
            </w:r>
          </w:p>
        </w:tc>
      </w:tr>
      <w:tr w:rsidR="00CF05E6" w:rsidTr="00CF05E6">
        <w:trPr>
          <w:trHeight w:val="251"/>
        </w:trPr>
        <w:tc>
          <w:tcPr>
            <w:tcW w:w="6033" w:type="dxa"/>
            <w:shd w:val="clear" w:color="auto" w:fill="C4BC96"/>
          </w:tcPr>
          <w:p w:rsidR="00CF05E6" w:rsidRDefault="00CF05E6" w:rsidP="00135B6F">
            <w:pPr>
              <w:pStyle w:val="TableParagraph"/>
              <w:spacing w:line="240" w:lineRule="auto"/>
              <w:ind w:left="0"/>
              <w:rPr>
                <w:rFonts w:ascii="Times New Roman"/>
                <w:sz w:val="18"/>
              </w:rPr>
            </w:pPr>
          </w:p>
        </w:tc>
        <w:tc>
          <w:tcPr>
            <w:tcW w:w="3606" w:type="dxa"/>
            <w:shd w:val="clear" w:color="auto" w:fill="C4BC96"/>
          </w:tcPr>
          <w:p w:rsidR="00CF05E6" w:rsidRDefault="00CF05E6" w:rsidP="00135B6F">
            <w:pPr>
              <w:pStyle w:val="TableParagraph"/>
              <w:spacing w:line="240" w:lineRule="auto"/>
              <w:ind w:left="0"/>
              <w:rPr>
                <w:rFonts w:ascii="Times New Roman"/>
                <w:sz w:val="18"/>
              </w:rPr>
            </w:pPr>
          </w:p>
        </w:tc>
      </w:tr>
      <w:tr w:rsidR="00CF05E6" w:rsidTr="00CF05E6">
        <w:trPr>
          <w:trHeight w:val="253"/>
        </w:trPr>
        <w:tc>
          <w:tcPr>
            <w:tcW w:w="6033" w:type="dxa"/>
          </w:tcPr>
          <w:p w:rsidR="00CF05E6" w:rsidRDefault="00CF05E6" w:rsidP="00135B6F">
            <w:pPr>
              <w:pStyle w:val="TableParagraph"/>
            </w:pPr>
            <w:r>
              <w:t>Has the consultation included patient representatives?</w:t>
            </w:r>
          </w:p>
        </w:tc>
        <w:tc>
          <w:tcPr>
            <w:tcW w:w="3606" w:type="dxa"/>
          </w:tcPr>
          <w:p w:rsidR="00CF05E6" w:rsidRDefault="00CF05E6" w:rsidP="00135B6F">
            <w:pPr>
              <w:pStyle w:val="TableParagraph"/>
            </w:pPr>
            <w:r>
              <w:t>Yes</w:t>
            </w:r>
          </w:p>
        </w:tc>
      </w:tr>
    </w:tbl>
    <w:p w:rsidR="00CF05E6" w:rsidRDefault="00CF05E6" w:rsidP="00DD63E1">
      <w:pPr>
        <w:pStyle w:val="BodyText"/>
        <w:spacing w:before="10"/>
        <w:rPr>
          <w:sz w:val="17"/>
        </w:rPr>
      </w:pPr>
    </w:p>
    <w:p w:rsidR="00CF05E6" w:rsidRDefault="00CF05E6" w:rsidP="00DD63E1">
      <w:pPr>
        <w:pStyle w:val="BodyText"/>
        <w:spacing w:before="10"/>
        <w:rPr>
          <w:sz w:val="17"/>
        </w:rPr>
      </w:pPr>
    </w:p>
    <w:p w:rsidR="00CF05E6" w:rsidRDefault="00CF05E6" w:rsidP="00CF05E6">
      <w:pPr>
        <w:spacing w:after="43"/>
        <w:rPr>
          <w:b/>
        </w:rPr>
      </w:pPr>
      <w:proofErr w:type="gramStart"/>
      <w:r w:rsidRPr="00DD63E1">
        <w:rPr>
          <w:b/>
        </w:rPr>
        <w:t>Policy sign</w:t>
      </w:r>
      <w:proofErr w:type="gramEnd"/>
      <w:r w:rsidRPr="00DD63E1">
        <w:rPr>
          <w:b/>
          <w:spacing w:val="-7"/>
        </w:rPr>
        <w:t xml:space="preserve"> </w:t>
      </w:r>
      <w:r w:rsidRPr="00DD63E1">
        <w:rPr>
          <w:b/>
        </w:rPr>
        <w:t>off</w:t>
      </w:r>
      <w:r w:rsidR="006E71C2">
        <w:rPr>
          <w:b/>
        </w:rPr>
        <w:t>:</w:t>
      </w:r>
    </w:p>
    <w:p w:rsidR="00CF05E6" w:rsidRDefault="00CF05E6" w:rsidP="00CF05E6">
      <w:pPr>
        <w:spacing w:after="43"/>
        <w:ind w:left="220"/>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3"/>
        <w:gridCol w:w="3606"/>
      </w:tblGrid>
      <w:tr w:rsidR="00CF05E6" w:rsidTr="00CF05E6">
        <w:trPr>
          <w:trHeight w:val="254"/>
        </w:trPr>
        <w:tc>
          <w:tcPr>
            <w:tcW w:w="6033" w:type="dxa"/>
          </w:tcPr>
          <w:p w:rsidR="00CF05E6" w:rsidRDefault="00CF05E6" w:rsidP="00135B6F">
            <w:pPr>
              <w:pStyle w:val="TableParagraph"/>
              <w:rPr>
                <w:b/>
              </w:rPr>
            </w:pPr>
            <w:r>
              <w:rPr>
                <w:b/>
              </w:rPr>
              <w:t>Reviewing Body</w:t>
            </w:r>
          </w:p>
        </w:tc>
        <w:tc>
          <w:tcPr>
            <w:tcW w:w="3606" w:type="dxa"/>
          </w:tcPr>
          <w:p w:rsidR="00CF05E6" w:rsidRDefault="00CF05E6" w:rsidP="00135B6F">
            <w:pPr>
              <w:pStyle w:val="TableParagraph"/>
              <w:rPr>
                <w:b/>
              </w:rPr>
            </w:pPr>
            <w:r>
              <w:rPr>
                <w:b/>
              </w:rPr>
              <w:t>Date of review</w:t>
            </w:r>
          </w:p>
        </w:tc>
      </w:tr>
      <w:tr w:rsidR="00CF05E6" w:rsidTr="00CF05E6">
        <w:trPr>
          <w:trHeight w:val="253"/>
        </w:trPr>
        <w:tc>
          <w:tcPr>
            <w:tcW w:w="6033" w:type="dxa"/>
          </w:tcPr>
          <w:p w:rsidR="00CF05E6" w:rsidRDefault="00CF05E6" w:rsidP="00135B6F">
            <w:pPr>
              <w:pStyle w:val="TableParagraph"/>
            </w:pPr>
            <w:r>
              <w:t>Effective Clinical Commissioning Policy Group</w:t>
            </w:r>
          </w:p>
        </w:tc>
        <w:tc>
          <w:tcPr>
            <w:tcW w:w="3606" w:type="dxa"/>
          </w:tcPr>
          <w:p w:rsidR="00CF05E6" w:rsidRDefault="00CF05E6" w:rsidP="00135B6F">
            <w:pPr>
              <w:pStyle w:val="TableParagraph"/>
            </w:pPr>
            <w:r>
              <w:t>8</w:t>
            </w:r>
            <w:r>
              <w:rPr>
                <w:vertAlign w:val="superscript"/>
              </w:rPr>
              <w:t>th</w:t>
            </w:r>
            <w:r>
              <w:t xml:space="preserve"> November 2016</w:t>
            </w:r>
          </w:p>
        </w:tc>
      </w:tr>
      <w:tr w:rsidR="00CF05E6" w:rsidTr="00CF05E6">
        <w:trPr>
          <w:trHeight w:val="251"/>
        </w:trPr>
        <w:tc>
          <w:tcPr>
            <w:tcW w:w="6033" w:type="dxa"/>
          </w:tcPr>
          <w:p w:rsidR="00CF05E6" w:rsidRDefault="00CF05E6" w:rsidP="00135B6F">
            <w:pPr>
              <w:pStyle w:val="TableParagraph"/>
              <w:spacing w:line="232" w:lineRule="exact"/>
            </w:pPr>
            <w:r>
              <w:t>Integrated Governance and Quality Committee</w:t>
            </w:r>
          </w:p>
        </w:tc>
        <w:tc>
          <w:tcPr>
            <w:tcW w:w="3606" w:type="dxa"/>
          </w:tcPr>
          <w:p w:rsidR="00CF05E6" w:rsidRDefault="00CF05E6" w:rsidP="00135B6F">
            <w:pPr>
              <w:pStyle w:val="TableParagraph"/>
              <w:spacing w:line="232" w:lineRule="exact"/>
            </w:pPr>
            <w:r>
              <w:t>18</w:t>
            </w:r>
            <w:r>
              <w:rPr>
                <w:vertAlign w:val="superscript"/>
              </w:rPr>
              <w:t>th</w:t>
            </w:r>
            <w:r>
              <w:t xml:space="preserve"> June 2015</w:t>
            </w:r>
          </w:p>
        </w:tc>
      </w:tr>
    </w:tbl>
    <w:p w:rsidR="00CF05E6" w:rsidRDefault="00CF05E6" w:rsidP="00DD63E1">
      <w:pPr>
        <w:pStyle w:val="BodyText"/>
        <w:spacing w:before="10"/>
        <w:rPr>
          <w:sz w:val="17"/>
        </w:rPr>
      </w:pPr>
    </w:p>
    <w:p w:rsidR="00CF05E6" w:rsidRDefault="00CF05E6" w:rsidP="00DD63E1">
      <w:pPr>
        <w:pStyle w:val="BodyText"/>
        <w:spacing w:before="10"/>
        <w:rPr>
          <w:sz w:val="17"/>
        </w:rPr>
      </w:pPr>
    </w:p>
    <w:p w:rsidR="00CF05E6" w:rsidRDefault="00CF05E6" w:rsidP="00CF05E6">
      <w:pPr>
        <w:pStyle w:val="Heading2"/>
        <w:spacing w:after="45"/>
        <w:rPr>
          <w:rFonts w:ascii="Arial"/>
        </w:rPr>
      </w:pPr>
      <w:r>
        <w:rPr>
          <w:rFonts w:ascii="Arial"/>
        </w:rPr>
        <w:t>Version</w:t>
      </w:r>
      <w:r>
        <w:rPr>
          <w:rFonts w:ascii="Arial"/>
          <w:spacing w:val="-6"/>
        </w:rPr>
        <w:t xml:space="preserve"> </w:t>
      </w:r>
      <w:r>
        <w:rPr>
          <w:rFonts w:ascii="Arial"/>
        </w:rPr>
        <w:t>Control</w:t>
      </w:r>
      <w:r w:rsidR="006E71C2">
        <w:rPr>
          <w:rFonts w:ascii="Arial"/>
        </w:rPr>
        <w:t>:</w:t>
      </w:r>
    </w:p>
    <w:p w:rsidR="00CF05E6" w:rsidRDefault="00CF05E6" w:rsidP="00CF05E6">
      <w:pPr>
        <w:pStyle w:val="Heading2"/>
        <w:spacing w:after="45"/>
        <w:ind w:left="220"/>
        <w:rPr>
          <w:rFonts w:ascii="Aria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7"/>
        <w:gridCol w:w="2551"/>
        <w:gridCol w:w="993"/>
        <w:gridCol w:w="4598"/>
      </w:tblGrid>
      <w:tr w:rsidR="00CF05E6" w:rsidTr="00CF05E6">
        <w:trPr>
          <w:trHeight w:val="289"/>
        </w:trPr>
        <w:tc>
          <w:tcPr>
            <w:tcW w:w="1497" w:type="dxa"/>
          </w:tcPr>
          <w:p w:rsidR="00CF05E6" w:rsidRDefault="00CF05E6" w:rsidP="00135B6F">
            <w:pPr>
              <w:pStyle w:val="TableParagraph"/>
              <w:spacing w:line="248" w:lineRule="exact"/>
              <w:rPr>
                <w:b/>
              </w:rPr>
            </w:pPr>
            <w:r>
              <w:rPr>
                <w:b/>
              </w:rPr>
              <w:t>Version No</w:t>
            </w:r>
          </w:p>
        </w:tc>
        <w:tc>
          <w:tcPr>
            <w:tcW w:w="2551" w:type="dxa"/>
          </w:tcPr>
          <w:p w:rsidR="00CF05E6" w:rsidRDefault="00CF05E6" w:rsidP="00135B6F">
            <w:pPr>
              <w:pStyle w:val="TableParagraph"/>
              <w:spacing w:line="248" w:lineRule="exact"/>
              <w:rPr>
                <w:b/>
              </w:rPr>
            </w:pPr>
            <w:r>
              <w:rPr>
                <w:b/>
              </w:rPr>
              <w:t>Type of Change</w:t>
            </w:r>
          </w:p>
        </w:tc>
        <w:tc>
          <w:tcPr>
            <w:tcW w:w="993" w:type="dxa"/>
          </w:tcPr>
          <w:p w:rsidR="00CF05E6" w:rsidRDefault="00CF05E6" w:rsidP="00135B6F">
            <w:pPr>
              <w:pStyle w:val="TableParagraph"/>
              <w:spacing w:line="248" w:lineRule="exact"/>
              <w:rPr>
                <w:b/>
              </w:rPr>
            </w:pPr>
            <w:r>
              <w:rPr>
                <w:b/>
              </w:rPr>
              <w:t>Date</w:t>
            </w:r>
          </w:p>
        </w:tc>
        <w:tc>
          <w:tcPr>
            <w:tcW w:w="4598" w:type="dxa"/>
          </w:tcPr>
          <w:p w:rsidR="00CF05E6" w:rsidRDefault="00CF05E6" w:rsidP="00135B6F">
            <w:pPr>
              <w:pStyle w:val="TableParagraph"/>
              <w:spacing w:line="248" w:lineRule="exact"/>
              <w:ind w:left="108"/>
              <w:rPr>
                <w:b/>
              </w:rPr>
            </w:pPr>
            <w:r>
              <w:rPr>
                <w:b/>
              </w:rPr>
              <w:t>Description of Change</w:t>
            </w:r>
          </w:p>
        </w:tc>
      </w:tr>
      <w:tr w:rsidR="00CF05E6" w:rsidTr="00CF05E6">
        <w:trPr>
          <w:trHeight w:val="263"/>
        </w:trPr>
        <w:tc>
          <w:tcPr>
            <w:tcW w:w="1497" w:type="dxa"/>
          </w:tcPr>
          <w:p w:rsidR="00CF05E6" w:rsidRDefault="00CF05E6" w:rsidP="00135B6F">
            <w:pPr>
              <w:pStyle w:val="TableParagraph"/>
              <w:spacing w:line="229" w:lineRule="exact"/>
              <w:rPr>
                <w:sz w:val="20"/>
              </w:rPr>
            </w:pPr>
            <w:r>
              <w:rPr>
                <w:w w:val="99"/>
                <w:sz w:val="20"/>
              </w:rPr>
              <w:t>1</w:t>
            </w:r>
          </w:p>
        </w:tc>
        <w:tc>
          <w:tcPr>
            <w:tcW w:w="2551" w:type="dxa"/>
          </w:tcPr>
          <w:p w:rsidR="00CF05E6" w:rsidRDefault="00CF05E6" w:rsidP="00135B6F">
            <w:pPr>
              <w:pStyle w:val="TableParagraph"/>
              <w:spacing w:line="240" w:lineRule="auto"/>
              <w:ind w:left="0"/>
              <w:rPr>
                <w:rFonts w:ascii="Times New Roman"/>
                <w:sz w:val="18"/>
              </w:rPr>
            </w:pPr>
          </w:p>
        </w:tc>
        <w:tc>
          <w:tcPr>
            <w:tcW w:w="993" w:type="dxa"/>
          </w:tcPr>
          <w:p w:rsidR="00CF05E6" w:rsidRDefault="00CF05E6" w:rsidP="00135B6F">
            <w:pPr>
              <w:pStyle w:val="TableParagraph"/>
              <w:spacing w:line="229" w:lineRule="exact"/>
              <w:rPr>
                <w:sz w:val="20"/>
              </w:rPr>
            </w:pPr>
            <w:r>
              <w:rPr>
                <w:sz w:val="20"/>
              </w:rPr>
              <w:t>1.8.15</w:t>
            </w:r>
          </w:p>
        </w:tc>
        <w:tc>
          <w:tcPr>
            <w:tcW w:w="4598" w:type="dxa"/>
          </w:tcPr>
          <w:p w:rsidR="00CF05E6" w:rsidRDefault="00CF05E6" w:rsidP="00135B6F">
            <w:pPr>
              <w:pStyle w:val="TableParagraph"/>
              <w:spacing w:line="240" w:lineRule="auto"/>
              <w:ind w:left="0"/>
              <w:rPr>
                <w:rFonts w:ascii="Times New Roman"/>
                <w:sz w:val="18"/>
              </w:rPr>
            </w:pPr>
          </w:p>
        </w:tc>
      </w:tr>
      <w:tr w:rsidR="00CF05E6" w:rsidTr="00CF05E6">
        <w:trPr>
          <w:trHeight w:val="266"/>
        </w:trPr>
        <w:tc>
          <w:tcPr>
            <w:tcW w:w="1497" w:type="dxa"/>
          </w:tcPr>
          <w:p w:rsidR="00CF05E6" w:rsidRDefault="00CF05E6" w:rsidP="00135B6F">
            <w:pPr>
              <w:pStyle w:val="TableParagraph"/>
              <w:spacing w:before="2" w:line="240" w:lineRule="auto"/>
              <w:rPr>
                <w:sz w:val="20"/>
              </w:rPr>
            </w:pPr>
            <w:r>
              <w:rPr>
                <w:w w:val="99"/>
                <w:sz w:val="20"/>
              </w:rPr>
              <w:t>2</w:t>
            </w:r>
          </w:p>
        </w:tc>
        <w:tc>
          <w:tcPr>
            <w:tcW w:w="2551" w:type="dxa"/>
          </w:tcPr>
          <w:p w:rsidR="00CF05E6" w:rsidRDefault="00CF05E6" w:rsidP="00135B6F">
            <w:pPr>
              <w:pStyle w:val="TableParagraph"/>
              <w:spacing w:before="2" w:line="240" w:lineRule="auto"/>
              <w:rPr>
                <w:sz w:val="20"/>
              </w:rPr>
            </w:pPr>
            <w:r>
              <w:rPr>
                <w:sz w:val="20"/>
              </w:rPr>
              <w:t>Review date</w:t>
            </w:r>
          </w:p>
        </w:tc>
        <w:tc>
          <w:tcPr>
            <w:tcW w:w="993" w:type="dxa"/>
          </w:tcPr>
          <w:p w:rsidR="00CF05E6" w:rsidRDefault="00CF05E6" w:rsidP="00135B6F">
            <w:pPr>
              <w:pStyle w:val="TableParagraph"/>
              <w:spacing w:before="2" w:line="240" w:lineRule="auto"/>
              <w:rPr>
                <w:sz w:val="20"/>
              </w:rPr>
            </w:pPr>
            <w:r>
              <w:rPr>
                <w:sz w:val="20"/>
              </w:rPr>
              <w:t>8.11.16</w:t>
            </w:r>
          </w:p>
        </w:tc>
        <w:tc>
          <w:tcPr>
            <w:tcW w:w="4598" w:type="dxa"/>
          </w:tcPr>
          <w:p w:rsidR="00CF05E6" w:rsidRDefault="00CF05E6" w:rsidP="00135B6F">
            <w:pPr>
              <w:pStyle w:val="TableParagraph"/>
              <w:spacing w:before="2" w:line="240" w:lineRule="auto"/>
              <w:ind w:left="108"/>
              <w:rPr>
                <w:sz w:val="20"/>
              </w:rPr>
            </w:pPr>
            <w:r>
              <w:rPr>
                <w:sz w:val="20"/>
              </w:rPr>
              <w:t>Review date changed to 8.11.18</w:t>
            </w:r>
          </w:p>
        </w:tc>
      </w:tr>
      <w:tr w:rsidR="00CF05E6" w:rsidTr="00511AE4">
        <w:trPr>
          <w:trHeight w:val="506"/>
        </w:trPr>
        <w:tc>
          <w:tcPr>
            <w:tcW w:w="1497" w:type="dxa"/>
          </w:tcPr>
          <w:p w:rsidR="00CF05E6" w:rsidRDefault="00CF05E6" w:rsidP="00135B6F">
            <w:pPr>
              <w:pStyle w:val="TableParagraph"/>
              <w:spacing w:line="229" w:lineRule="exact"/>
              <w:rPr>
                <w:sz w:val="20"/>
              </w:rPr>
            </w:pPr>
            <w:r>
              <w:rPr>
                <w:w w:val="99"/>
                <w:sz w:val="20"/>
              </w:rPr>
              <w:t>3</w:t>
            </w:r>
          </w:p>
        </w:tc>
        <w:tc>
          <w:tcPr>
            <w:tcW w:w="2551" w:type="dxa"/>
          </w:tcPr>
          <w:p w:rsidR="00CF05E6" w:rsidRDefault="00CF05E6" w:rsidP="00135B6F">
            <w:pPr>
              <w:pStyle w:val="TableParagraph"/>
              <w:spacing w:line="276" w:lineRule="auto"/>
              <w:ind w:right="90"/>
              <w:rPr>
                <w:sz w:val="20"/>
              </w:rPr>
            </w:pPr>
            <w:r>
              <w:rPr>
                <w:sz w:val="20"/>
              </w:rPr>
              <w:t>Policy change/review date change</w:t>
            </w:r>
          </w:p>
        </w:tc>
        <w:tc>
          <w:tcPr>
            <w:tcW w:w="993" w:type="dxa"/>
          </w:tcPr>
          <w:p w:rsidR="00CF05E6" w:rsidRDefault="00CF05E6" w:rsidP="00135B6F">
            <w:pPr>
              <w:pStyle w:val="TableParagraph"/>
              <w:spacing w:line="229" w:lineRule="exact"/>
              <w:rPr>
                <w:sz w:val="20"/>
              </w:rPr>
            </w:pPr>
            <w:r>
              <w:rPr>
                <w:sz w:val="20"/>
              </w:rPr>
              <w:t>1.2.18</w:t>
            </w:r>
          </w:p>
        </w:tc>
        <w:tc>
          <w:tcPr>
            <w:tcW w:w="4598" w:type="dxa"/>
          </w:tcPr>
          <w:p w:rsidR="00CF05E6" w:rsidRDefault="00CF05E6" w:rsidP="00135B6F">
            <w:pPr>
              <w:pStyle w:val="TableParagraph"/>
              <w:spacing w:line="229" w:lineRule="exact"/>
              <w:ind w:left="108"/>
              <w:rPr>
                <w:sz w:val="20"/>
              </w:rPr>
            </w:pPr>
            <w:r>
              <w:rPr>
                <w:sz w:val="20"/>
              </w:rPr>
              <w:t>Prior approval removed, policy changed to</w:t>
            </w:r>
          </w:p>
          <w:p w:rsidR="00CF05E6" w:rsidRDefault="00CF05E6" w:rsidP="00135B6F">
            <w:pPr>
              <w:pStyle w:val="TableParagraph"/>
              <w:spacing w:before="4" w:line="260" w:lineRule="atLeast"/>
              <w:ind w:left="108"/>
              <w:rPr>
                <w:sz w:val="20"/>
              </w:rPr>
            </w:pPr>
            <w:r>
              <w:rPr>
                <w:sz w:val="20"/>
              </w:rPr>
              <w:t>CBA from 1.2.18. Review date changed to 8.11.18</w:t>
            </w:r>
          </w:p>
        </w:tc>
      </w:tr>
      <w:tr w:rsidR="00CF05E6" w:rsidTr="00CF05E6">
        <w:trPr>
          <w:trHeight w:val="527"/>
        </w:trPr>
        <w:tc>
          <w:tcPr>
            <w:tcW w:w="1497" w:type="dxa"/>
          </w:tcPr>
          <w:p w:rsidR="00CF05E6" w:rsidRDefault="00CF05E6" w:rsidP="00135B6F">
            <w:pPr>
              <w:pStyle w:val="TableParagraph"/>
              <w:spacing w:line="229" w:lineRule="exact"/>
              <w:rPr>
                <w:sz w:val="20"/>
              </w:rPr>
            </w:pPr>
            <w:r>
              <w:rPr>
                <w:w w:val="99"/>
                <w:sz w:val="20"/>
              </w:rPr>
              <w:t>4</w:t>
            </w:r>
          </w:p>
        </w:tc>
        <w:tc>
          <w:tcPr>
            <w:tcW w:w="2551" w:type="dxa"/>
          </w:tcPr>
          <w:p w:rsidR="00CF05E6" w:rsidRDefault="00CF05E6" w:rsidP="00135B6F">
            <w:pPr>
              <w:pStyle w:val="TableParagraph"/>
              <w:spacing w:line="229" w:lineRule="exact"/>
              <w:rPr>
                <w:sz w:val="20"/>
              </w:rPr>
            </w:pPr>
            <w:r>
              <w:rPr>
                <w:sz w:val="20"/>
              </w:rPr>
              <w:t>Review date change</w:t>
            </w:r>
          </w:p>
        </w:tc>
        <w:tc>
          <w:tcPr>
            <w:tcW w:w="993" w:type="dxa"/>
          </w:tcPr>
          <w:p w:rsidR="00CF05E6" w:rsidRDefault="00CF05E6" w:rsidP="00135B6F">
            <w:pPr>
              <w:pStyle w:val="TableParagraph"/>
              <w:spacing w:line="229" w:lineRule="exact"/>
              <w:rPr>
                <w:sz w:val="20"/>
              </w:rPr>
            </w:pPr>
            <w:r>
              <w:rPr>
                <w:sz w:val="20"/>
              </w:rPr>
              <w:t>18.10.18</w:t>
            </w:r>
          </w:p>
        </w:tc>
        <w:tc>
          <w:tcPr>
            <w:tcW w:w="4598" w:type="dxa"/>
          </w:tcPr>
          <w:p w:rsidR="00CF05E6" w:rsidRDefault="00CF05E6" w:rsidP="00135B6F">
            <w:pPr>
              <w:pStyle w:val="TableParagraph"/>
              <w:spacing w:line="229" w:lineRule="exact"/>
              <w:ind w:left="108"/>
              <w:rPr>
                <w:sz w:val="20"/>
              </w:rPr>
            </w:pPr>
            <w:r>
              <w:rPr>
                <w:sz w:val="20"/>
              </w:rPr>
              <w:t>Review date changed to Dec 2019; Plain</w:t>
            </w:r>
          </w:p>
          <w:p w:rsidR="00CF05E6" w:rsidRDefault="00CF05E6" w:rsidP="00135B6F">
            <w:pPr>
              <w:pStyle w:val="TableParagraph"/>
              <w:spacing w:before="34" w:line="240" w:lineRule="auto"/>
              <w:ind w:left="108"/>
              <w:rPr>
                <w:sz w:val="20"/>
              </w:rPr>
            </w:pPr>
            <w:r>
              <w:rPr>
                <w:sz w:val="20"/>
              </w:rPr>
              <w:t>English Summary and Rationale updated.</w:t>
            </w:r>
          </w:p>
        </w:tc>
      </w:tr>
      <w:tr w:rsidR="00CF05E6" w:rsidTr="00CF05E6">
        <w:trPr>
          <w:trHeight w:val="530"/>
        </w:trPr>
        <w:tc>
          <w:tcPr>
            <w:tcW w:w="1497" w:type="dxa"/>
          </w:tcPr>
          <w:p w:rsidR="00CF05E6" w:rsidRDefault="00CF05E6" w:rsidP="00135B6F">
            <w:pPr>
              <w:pStyle w:val="TableParagraph"/>
              <w:spacing w:line="229" w:lineRule="exact"/>
              <w:rPr>
                <w:sz w:val="20"/>
              </w:rPr>
            </w:pPr>
            <w:r>
              <w:rPr>
                <w:w w:val="99"/>
                <w:sz w:val="20"/>
              </w:rPr>
              <w:t>5</w:t>
            </w:r>
          </w:p>
        </w:tc>
        <w:tc>
          <w:tcPr>
            <w:tcW w:w="2551" w:type="dxa"/>
          </w:tcPr>
          <w:p w:rsidR="00CF05E6" w:rsidRDefault="00CF05E6" w:rsidP="00135B6F">
            <w:pPr>
              <w:pStyle w:val="TableParagraph"/>
              <w:spacing w:line="229" w:lineRule="exact"/>
              <w:rPr>
                <w:sz w:val="20"/>
              </w:rPr>
            </w:pPr>
            <w:r>
              <w:rPr>
                <w:sz w:val="20"/>
              </w:rPr>
              <w:t>Review date change</w:t>
            </w:r>
            <w:r>
              <w:rPr>
                <w:spacing w:val="-9"/>
                <w:sz w:val="20"/>
              </w:rPr>
              <w:t xml:space="preserve"> </w:t>
            </w:r>
            <w:r>
              <w:rPr>
                <w:sz w:val="20"/>
              </w:rPr>
              <w:t>&amp;</w:t>
            </w:r>
          </w:p>
          <w:p w:rsidR="00CF05E6" w:rsidRDefault="00CF05E6" w:rsidP="00135B6F">
            <w:pPr>
              <w:pStyle w:val="TableParagraph"/>
              <w:spacing w:before="36" w:line="240" w:lineRule="auto"/>
              <w:rPr>
                <w:sz w:val="20"/>
              </w:rPr>
            </w:pPr>
            <w:r>
              <w:rPr>
                <w:sz w:val="20"/>
              </w:rPr>
              <w:t>Plain English</w:t>
            </w:r>
            <w:r>
              <w:rPr>
                <w:spacing w:val="-4"/>
                <w:sz w:val="20"/>
              </w:rPr>
              <w:t xml:space="preserve"> </w:t>
            </w:r>
            <w:r>
              <w:rPr>
                <w:sz w:val="20"/>
              </w:rPr>
              <w:t>summary</w:t>
            </w:r>
          </w:p>
        </w:tc>
        <w:tc>
          <w:tcPr>
            <w:tcW w:w="993" w:type="dxa"/>
          </w:tcPr>
          <w:p w:rsidR="00CF05E6" w:rsidRDefault="00CF05E6" w:rsidP="00135B6F">
            <w:pPr>
              <w:pStyle w:val="TableParagraph"/>
              <w:spacing w:line="229" w:lineRule="exact"/>
              <w:rPr>
                <w:sz w:val="20"/>
              </w:rPr>
            </w:pPr>
            <w:r>
              <w:rPr>
                <w:sz w:val="20"/>
              </w:rPr>
              <w:t>09.01.20</w:t>
            </w:r>
          </w:p>
        </w:tc>
        <w:tc>
          <w:tcPr>
            <w:tcW w:w="4598" w:type="dxa"/>
          </w:tcPr>
          <w:p w:rsidR="00CF05E6" w:rsidRDefault="00CF05E6" w:rsidP="00135B6F">
            <w:pPr>
              <w:pStyle w:val="TableParagraph"/>
              <w:spacing w:line="229" w:lineRule="exact"/>
              <w:ind w:left="108"/>
              <w:rPr>
                <w:sz w:val="20"/>
              </w:rPr>
            </w:pPr>
            <w:r>
              <w:rPr>
                <w:sz w:val="20"/>
              </w:rPr>
              <w:t>Review date changed to January 2023: Plain</w:t>
            </w:r>
          </w:p>
          <w:p w:rsidR="00CF05E6" w:rsidRDefault="00CF05E6" w:rsidP="00135B6F">
            <w:pPr>
              <w:pStyle w:val="TableParagraph"/>
              <w:spacing w:before="36" w:line="240" w:lineRule="auto"/>
              <w:ind w:left="108"/>
              <w:rPr>
                <w:sz w:val="20"/>
              </w:rPr>
            </w:pPr>
            <w:r>
              <w:rPr>
                <w:sz w:val="20"/>
              </w:rPr>
              <w:t>English Summary updated.</w:t>
            </w:r>
          </w:p>
        </w:tc>
      </w:tr>
      <w:tr w:rsidR="00CF05E6" w:rsidTr="00CF05E6">
        <w:trPr>
          <w:trHeight w:val="530"/>
        </w:trPr>
        <w:tc>
          <w:tcPr>
            <w:tcW w:w="1497" w:type="dxa"/>
          </w:tcPr>
          <w:p w:rsidR="00CF05E6" w:rsidRDefault="00CF05E6" w:rsidP="00135B6F">
            <w:pPr>
              <w:pStyle w:val="TableParagraph"/>
              <w:spacing w:line="229" w:lineRule="exact"/>
              <w:rPr>
                <w:w w:val="99"/>
                <w:sz w:val="20"/>
              </w:rPr>
            </w:pPr>
            <w:r>
              <w:rPr>
                <w:w w:val="99"/>
                <w:sz w:val="20"/>
              </w:rPr>
              <w:t>6</w:t>
            </w:r>
          </w:p>
        </w:tc>
        <w:tc>
          <w:tcPr>
            <w:tcW w:w="2551" w:type="dxa"/>
          </w:tcPr>
          <w:p w:rsidR="00CF05E6" w:rsidRDefault="00CF05E6" w:rsidP="00135B6F">
            <w:pPr>
              <w:pStyle w:val="TableParagraph"/>
              <w:spacing w:line="229" w:lineRule="exact"/>
              <w:rPr>
                <w:sz w:val="20"/>
              </w:rPr>
            </w:pPr>
            <w:r>
              <w:rPr>
                <w:sz w:val="20"/>
              </w:rPr>
              <w:t>Minor wording added</w:t>
            </w:r>
          </w:p>
        </w:tc>
        <w:tc>
          <w:tcPr>
            <w:tcW w:w="993" w:type="dxa"/>
          </w:tcPr>
          <w:p w:rsidR="00CF05E6" w:rsidRDefault="00CF05E6" w:rsidP="00135B6F">
            <w:pPr>
              <w:pStyle w:val="TableParagraph"/>
              <w:spacing w:line="229" w:lineRule="exact"/>
              <w:rPr>
                <w:sz w:val="20"/>
              </w:rPr>
            </w:pPr>
            <w:r>
              <w:rPr>
                <w:sz w:val="20"/>
              </w:rPr>
              <w:t>11.3.21</w:t>
            </w:r>
          </w:p>
        </w:tc>
        <w:tc>
          <w:tcPr>
            <w:tcW w:w="4598" w:type="dxa"/>
          </w:tcPr>
          <w:p w:rsidR="00CF05E6" w:rsidRDefault="00CF05E6" w:rsidP="00135B6F">
            <w:pPr>
              <w:pStyle w:val="TableParagraph"/>
              <w:spacing w:line="229" w:lineRule="exact"/>
              <w:ind w:left="108"/>
              <w:rPr>
                <w:sz w:val="20"/>
              </w:rPr>
            </w:pPr>
            <w:r>
              <w:rPr>
                <w:sz w:val="20"/>
              </w:rPr>
              <w:t>Wording added around adjuvant adenoidectomy for the treatment of glue ear in policy st</w:t>
            </w:r>
            <w:r w:rsidR="002E2C72">
              <w:rPr>
                <w:sz w:val="20"/>
              </w:rPr>
              <w:t>atement to bring in line with EB</w:t>
            </w:r>
            <w:bookmarkStart w:id="0" w:name="_GoBack"/>
            <w:bookmarkEnd w:id="0"/>
            <w:r>
              <w:rPr>
                <w:sz w:val="20"/>
              </w:rPr>
              <w:t>I Policy.</w:t>
            </w:r>
          </w:p>
        </w:tc>
      </w:tr>
    </w:tbl>
    <w:p w:rsidR="00CF05E6" w:rsidRDefault="00CF05E6" w:rsidP="00DD63E1">
      <w:pPr>
        <w:pStyle w:val="BodyText"/>
        <w:spacing w:before="10"/>
        <w:rPr>
          <w:sz w:val="17"/>
        </w:rPr>
      </w:pPr>
    </w:p>
    <w:p w:rsidR="00DD63E1" w:rsidRDefault="00DD63E1" w:rsidP="00CF05E6">
      <w:pPr>
        <w:spacing w:before="92" w:line="276" w:lineRule="auto"/>
        <w:ind w:right="2837"/>
        <w:rPr>
          <w:sz w:val="24"/>
        </w:rPr>
      </w:pPr>
    </w:p>
    <w:p w:rsidR="00F228F0" w:rsidRDefault="00F228F0">
      <w:pPr>
        <w:pStyle w:val="BodyText"/>
        <w:spacing w:before="7"/>
        <w:rPr>
          <w:sz w:val="27"/>
        </w:rPr>
      </w:pPr>
    </w:p>
    <w:p w:rsidR="00F228F0" w:rsidRDefault="00F228F0"/>
    <w:p w:rsidR="00DD63E1" w:rsidRDefault="00DD63E1"/>
    <w:p w:rsidR="00DD63E1" w:rsidRDefault="00DD63E1">
      <w:pPr>
        <w:rPr>
          <w:b/>
          <w:sz w:val="24"/>
        </w:rPr>
      </w:pPr>
    </w:p>
    <w:p w:rsidR="00DD63E1" w:rsidRDefault="00DD63E1">
      <w:pPr>
        <w:rPr>
          <w:b/>
          <w:sz w:val="24"/>
        </w:rPr>
      </w:pPr>
    </w:p>
    <w:p w:rsidR="00DD63E1" w:rsidRDefault="00DD63E1">
      <w:pPr>
        <w:rPr>
          <w:b/>
        </w:rPr>
      </w:pPr>
      <w:r>
        <w:rPr>
          <w:b/>
          <w:sz w:val="24"/>
        </w:rPr>
        <w:t xml:space="preserve">   </w:t>
      </w:r>
    </w:p>
    <w:sectPr w:rsidR="00DD63E1">
      <w:headerReference w:type="default" r:id="rId14"/>
      <w:footerReference w:type="default" r:id="rId15"/>
      <w:pgSz w:w="11910" w:h="16840"/>
      <w:pgMar w:top="1700" w:right="1220" w:bottom="1200" w:left="1220" w:header="278"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6D" w:rsidRDefault="006E71C2">
      <w:r>
        <w:separator/>
      </w:r>
    </w:p>
  </w:endnote>
  <w:endnote w:type="continuationSeparator" w:id="0">
    <w:p w:rsidR="00D02B6D" w:rsidRDefault="006E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F0" w:rsidRDefault="009F3ADF">
    <w:pPr>
      <w:pStyle w:val="BodyText"/>
      <w:spacing w:line="14" w:lineRule="auto"/>
      <w:rPr>
        <w:sz w:val="20"/>
      </w:rPr>
    </w:pPr>
    <w:r>
      <w:rPr>
        <w:noProof/>
        <w:lang w:bidi="ar-SA"/>
      </w:rPr>
      <mc:AlternateContent>
        <mc:Choice Requires="wps">
          <w:drawing>
            <wp:anchor distT="0" distB="0" distL="114300" distR="114300" simplePos="0" relativeHeight="251292672" behindDoc="1" locked="0" layoutInCell="1" allowOverlap="1" wp14:anchorId="16FA2DD6" wp14:editId="16BD2AF5">
              <wp:simplePos x="0" y="0"/>
              <wp:positionH relativeFrom="page">
                <wp:posOffset>3535045</wp:posOffset>
              </wp:positionH>
              <wp:positionV relativeFrom="page">
                <wp:posOffset>9914890</wp:posOffset>
              </wp:positionV>
              <wp:extent cx="147320"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F0" w:rsidRDefault="006E71C2">
                          <w:pPr>
                            <w:pStyle w:val="BodyText"/>
                            <w:spacing w:line="245" w:lineRule="exact"/>
                            <w:ind w:left="60"/>
                            <w:rPr>
                              <w:rFonts w:ascii="Calibri"/>
                            </w:rPr>
                          </w:pPr>
                          <w:r>
                            <w:fldChar w:fldCharType="begin"/>
                          </w:r>
                          <w:r>
                            <w:rPr>
                              <w:rFonts w:ascii="Calibri"/>
                            </w:rPr>
                            <w:instrText xml:space="preserve"> PAGE </w:instrText>
                          </w:r>
                          <w:r>
                            <w:fldChar w:fldCharType="separate"/>
                          </w:r>
                          <w:r w:rsidR="002E2C72">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78.35pt;margin-top:780.7pt;width:11.6pt;height:13.05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mt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" filled="f" stroked="f">
              <v:textbox inset="0,0,0,0">
                <w:txbxContent>
                  <w:p w:rsidR="00F228F0" w:rsidRDefault="006E71C2">
                    <w:pPr>
                      <w:pStyle w:val="BodyText"/>
                      <w:spacing w:line="245" w:lineRule="exact"/>
                      <w:ind w:left="60"/>
                      <w:rPr>
                        <w:rFonts w:ascii="Calibri"/>
                      </w:rPr>
                    </w:pPr>
                    <w:r>
                      <w:fldChar w:fldCharType="begin"/>
                    </w:r>
                    <w:r>
                      <w:rPr>
                        <w:rFonts w:ascii="Calibri"/>
                      </w:rPr>
                      <w:instrText xml:space="preserve"> PAGE </w:instrText>
                    </w:r>
                    <w:r>
                      <w:fldChar w:fldCharType="separate"/>
                    </w:r>
                    <w:r w:rsidR="002E2C72">
                      <w:rPr>
                        <w:rFonts w:ascii="Calibri"/>
                        <w:noProof/>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293696" behindDoc="1" locked="0" layoutInCell="1" allowOverlap="1" wp14:anchorId="7225C607" wp14:editId="2E2AF042">
              <wp:simplePos x="0" y="0"/>
              <wp:positionH relativeFrom="page">
                <wp:posOffset>6475730</wp:posOffset>
              </wp:positionH>
              <wp:positionV relativeFrom="page">
                <wp:posOffset>9914890</wp:posOffset>
              </wp:positionV>
              <wp:extent cx="178435"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F0" w:rsidRDefault="006E71C2">
                          <w:pPr>
                            <w:pStyle w:val="BodyText"/>
                            <w:spacing w:line="245" w:lineRule="exact"/>
                            <w:ind w:left="20"/>
                            <w:rPr>
                              <w:rFonts w:ascii="Calibri"/>
                            </w:rPr>
                          </w:pPr>
                          <w:r>
                            <w:rPr>
                              <w:rFonts w:ascii="Calibri"/>
                            </w:rPr>
                            <w:t>V</w:t>
                          </w:r>
                          <w:r w:rsidR="00D12090">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09.9pt;margin-top:780.7pt;width:14.05pt;height:13.0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ywrg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" filled="f" stroked="f">
              <v:textbox inset="0,0,0,0">
                <w:txbxContent>
                  <w:p w:rsidR="00F228F0" w:rsidRDefault="006E71C2">
                    <w:pPr>
                      <w:pStyle w:val="BodyText"/>
                      <w:spacing w:line="245" w:lineRule="exact"/>
                      <w:ind w:left="20"/>
                      <w:rPr>
                        <w:rFonts w:ascii="Calibri"/>
                      </w:rPr>
                    </w:pPr>
                    <w:r>
                      <w:rPr>
                        <w:rFonts w:ascii="Calibri"/>
                      </w:rPr>
                      <w:t>V</w:t>
                    </w:r>
                    <w:r w:rsidR="00D12090">
                      <w:rPr>
                        <w:rFonts w:ascii="Calibri"/>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F0" w:rsidRDefault="009F3ADF">
    <w:pPr>
      <w:pStyle w:val="BodyText"/>
      <w:spacing w:line="14" w:lineRule="auto"/>
      <w:rPr>
        <w:sz w:val="20"/>
      </w:rPr>
    </w:pPr>
    <w:r>
      <w:rPr>
        <w:noProof/>
        <w:lang w:bidi="ar-SA"/>
      </w:rPr>
      <mc:AlternateContent>
        <mc:Choice Requires="wps">
          <w:drawing>
            <wp:anchor distT="0" distB="0" distL="114300" distR="114300" simplePos="0" relativeHeight="251296768" behindDoc="1" locked="0" layoutInCell="1" allowOverlap="1" wp14:anchorId="5024972E" wp14:editId="26C8A491">
              <wp:simplePos x="0" y="0"/>
              <wp:positionH relativeFrom="page">
                <wp:posOffset>3535045</wp:posOffset>
              </wp:positionH>
              <wp:positionV relativeFrom="page">
                <wp:posOffset>9914890</wp:posOffset>
              </wp:positionV>
              <wp:extent cx="1473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F0" w:rsidRDefault="006E71C2">
                          <w:pPr>
                            <w:pStyle w:val="BodyText"/>
                            <w:spacing w:line="245" w:lineRule="exact"/>
                            <w:ind w:left="60"/>
                            <w:rPr>
                              <w:rFonts w:ascii="Calibri"/>
                            </w:rPr>
                          </w:pPr>
                          <w:r>
                            <w:fldChar w:fldCharType="begin"/>
                          </w:r>
                          <w:r>
                            <w:rPr>
                              <w:rFonts w:ascii="Calibri"/>
                            </w:rPr>
                            <w:instrText xml:space="preserve"> PAGE </w:instrText>
                          </w:r>
                          <w:r>
                            <w:fldChar w:fldCharType="separate"/>
                          </w:r>
                          <w:r w:rsidR="002E2C72">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78.35pt;margin-top:780.7pt;width:11.6pt;height:13.05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sV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" filled="f" stroked="f">
              <v:textbox inset="0,0,0,0">
                <w:txbxContent>
                  <w:p w:rsidR="00F228F0" w:rsidRDefault="006E71C2">
                    <w:pPr>
                      <w:pStyle w:val="BodyText"/>
                      <w:spacing w:line="245" w:lineRule="exact"/>
                      <w:ind w:left="60"/>
                      <w:rPr>
                        <w:rFonts w:ascii="Calibri"/>
                      </w:rPr>
                    </w:pPr>
                    <w:r>
                      <w:fldChar w:fldCharType="begin"/>
                    </w:r>
                    <w:r>
                      <w:rPr>
                        <w:rFonts w:ascii="Calibri"/>
                      </w:rPr>
                      <w:instrText xml:space="preserve"> PAGE </w:instrText>
                    </w:r>
                    <w:r>
                      <w:fldChar w:fldCharType="separate"/>
                    </w:r>
                    <w:r w:rsidR="002E2C72">
                      <w:rPr>
                        <w:rFonts w:ascii="Calibri"/>
                        <w:noProof/>
                      </w:rPr>
                      <w:t>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297792" behindDoc="1" locked="0" layoutInCell="1" allowOverlap="1" wp14:anchorId="7A5E14E1" wp14:editId="06540383">
              <wp:simplePos x="0" y="0"/>
              <wp:positionH relativeFrom="page">
                <wp:posOffset>6475730</wp:posOffset>
              </wp:positionH>
              <wp:positionV relativeFrom="page">
                <wp:posOffset>9914890</wp:posOffset>
              </wp:positionV>
              <wp:extent cx="1784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F0" w:rsidRDefault="006E71C2">
                          <w:pPr>
                            <w:pStyle w:val="BodyText"/>
                            <w:spacing w:line="245" w:lineRule="exact"/>
                            <w:ind w:left="20"/>
                            <w:rPr>
                              <w:rFonts w:ascii="Calibri"/>
                            </w:rPr>
                          </w:pPr>
                          <w:r>
                            <w:rPr>
                              <w:rFonts w:ascii="Calibri"/>
                            </w:rPr>
                            <w:t>V</w:t>
                          </w:r>
                          <w:r w:rsidR="00DD63E1">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09.9pt;margin-top:780.7pt;width:14.05pt;height:13.05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ujrg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" filled="f" stroked="f">
              <v:textbox inset="0,0,0,0">
                <w:txbxContent>
                  <w:p w:rsidR="00F228F0" w:rsidRDefault="006E71C2">
                    <w:pPr>
                      <w:pStyle w:val="BodyText"/>
                      <w:spacing w:line="245" w:lineRule="exact"/>
                      <w:ind w:left="20"/>
                      <w:rPr>
                        <w:rFonts w:ascii="Calibri"/>
                      </w:rPr>
                    </w:pPr>
                    <w:r>
                      <w:rPr>
                        <w:rFonts w:ascii="Calibri"/>
                      </w:rPr>
                      <w:t>V</w:t>
                    </w:r>
                    <w:r w:rsidR="00DD63E1">
                      <w:rPr>
                        <w:rFonts w:ascii="Calibri"/>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6D" w:rsidRDefault="006E71C2">
      <w:r>
        <w:separator/>
      </w:r>
    </w:p>
  </w:footnote>
  <w:footnote w:type="continuationSeparator" w:id="0">
    <w:p w:rsidR="00D02B6D" w:rsidRDefault="006E7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F0" w:rsidRDefault="009F3ADF">
    <w:pPr>
      <w:pStyle w:val="BodyText"/>
      <w:spacing w:line="14" w:lineRule="auto"/>
      <w:rPr>
        <w:sz w:val="20"/>
      </w:rPr>
    </w:pPr>
    <w:r>
      <w:rPr>
        <w:noProof/>
        <w:lang w:bidi="ar-SA"/>
      </w:rPr>
      <mc:AlternateContent>
        <mc:Choice Requires="wps">
          <w:drawing>
            <wp:anchor distT="0" distB="0" distL="114300" distR="114300" simplePos="0" relativeHeight="251290624" behindDoc="1" locked="0" layoutInCell="1" allowOverlap="1" wp14:anchorId="3BA755B7" wp14:editId="1D9021DB">
              <wp:simplePos x="0" y="0"/>
              <wp:positionH relativeFrom="page">
                <wp:posOffset>276225</wp:posOffset>
              </wp:positionH>
              <wp:positionV relativeFrom="page">
                <wp:posOffset>181610</wp:posOffset>
              </wp:positionV>
              <wp:extent cx="2638425" cy="90487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75pt;margin-top:14.3pt;width:207.75pt;height:71.25pt;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" filled="f">
              <w10:wrap anchorx="page" anchory="page"/>
            </v:rect>
          </w:pict>
        </mc:Fallback>
      </mc:AlternateContent>
    </w:r>
    <w:r>
      <w:rPr>
        <w:noProof/>
        <w:lang w:bidi="ar-SA"/>
      </w:rPr>
      <mc:AlternateContent>
        <mc:Choice Requires="wps">
          <w:drawing>
            <wp:anchor distT="0" distB="0" distL="114300" distR="114300" simplePos="0" relativeHeight="251291648" behindDoc="1" locked="0" layoutInCell="1" allowOverlap="1" wp14:anchorId="3D6F86E8" wp14:editId="7A973C88">
              <wp:simplePos x="0" y="0"/>
              <wp:positionH relativeFrom="page">
                <wp:posOffset>360680</wp:posOffset>
              </wp:positionH>
              <wp:positionV relativeFrom="page">
                <wp:posOffset>246380</wp:posOffset>
              </wp:positionV>
              <wp:extent cx="1932305" cy="7543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F0" w:rsidRDefault="006E71C2">
                          <w:pPr>
                            <w:spacing w:line="245" w:lineRule="exact"/>
                            <w:ind w:left="20"/>
                            <w:rPr>
                              <w:rFonts w:ascii="Calibri"/>
                              <w:b/>
                            </w:rPr>
                          </w:pPr>
                          <w:r>
                            <w:rPr>
                              <w:rFonts w:ascii="Calibri"/>
                              <w:b/>
                            </w:rPr>
                            <w:t>Policy Category:</w:t>
                          </w:r>
                        </w:p>
                        <w:p w:rsidR="00F228F0" w:rsidRDefault="006E71C2">
                          <w:pPr>
                            <w:spacing w:before="38"/>
                            <w:ind w:left="20"/>
                            <w:rPr>
                              <w:rFonts w:ascii="Calibri"/>
                              <w:b/>
                            </w:rPr>
                          </w:pPr>
                          <w:r>
                            <w:rPr>
                              <w:rFonts w:ascii="Calibri"/>
                              <w:b/>
                              <w:color w:val="FF0000"/>
                            </w:rPr>
                            <w:t>CBA</w:t>
                          </w:r>
                        </w:p>
                        <w:p w:rsidR="00F228F0" w:rsidRDefault="006E71C2">
                          <w:pPr>
                            <w:spacing w:before="41" w:line="276" w:lineRule="auto"/>
                            <w:ind w:left="20" w:right="4"/>
                            <w:rPr>
                              <w:rFonts w:ascii="Calibri"/>
                              <w:b/>
                            </w:rPr>
                          </w:pPr>
                          <w:r>
                            <w:rPr>
                              <w:rFonts w:ascii="Calibri"/>
                              <w:b/>
                            </w:rPr>
                            <w:t xml:space="preserve">Who usually applies for funding? </w:t>
                          </w:r>
                          <w:r>
                            <w:rPr>
                              <w:rFonts w:ascii="Calibri"/>
                              <w:b/>
                              <w:color w:val="FF0000"/>
                            </w:rPr>
                            <w:t>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8.4pt;margin-top:19.4pt;width:152.15pt;height:59.4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" filled="f" stroked="f">
              <v:textbox inset="0,0,0,0">
                <w:txbxContent>
                  <w:p w:rsidR="00F228F0" w:rsidRDefault="006E71C2">
                    <w:pPr>
                      <w:spacing w:line="245" w:lineRule="exact"/>
                      <w:ind w:left="20"/>
                      <w:rPr>
                        <w:rFonts w:ascii="Calibri"/>
                        <w:b/>
                      </w:rPr>
                    </w:pPr>
                    <w:r>
                      <w:rPr>
                        <w:rFonts w:ascii="Calibri"/>
                        <w:b/>
                      </w:rPr>
                      <w:t>Policy Category:</w:t>
                    </w:r>
                  </w:p>
                  <w:p w:rsidR="00F228F0" w:rsidRDefault="006E71C2">
                    <w:pPr>
                      <w:spacing w:before="38"/>
                      <w:ind w:left="20"/>
                      <w:rPr>
                        <w:rFonts w:ascii="Calibri"/>
                        <w:b/>
                      </w:rPr>
                    </w:pPr>
                    <w:r>
                      <w:rPr>
                        <w:rFonts w:ascii="Calibri"/>
                        <w:b/>
                        <w:color w:val="FF0000"/>
                      </w:rPr>
                      <w:t>CBA</w:t>
                    </w:r>
                  </w:p>
                  <w:p w:rsidR="00F228F0" w:rsidRDefault="006E71C2">
                    <w:pPr>
                      <w:spacing w:before="41" w:line="276" w:lineRule="auto"/>
                      <w:ind w:left="20" w:right="4"/>
                      <w:rPr>
                        <w:rFonts w:ascii="Calibri"/>
                        <w:b/>
                      </w:rPr>
                    </w:pPr>
                    <w:r>
                      <w:rPr>
                        <w:rFonts w:ascii="Calibri"/>
                        <w:b/>
                      </w:rPr>
                      <w:t xml:space="preserve">Who usually applies for funding? </w:t>
                    </w:r>
                    <w:r>
                      <w:rPr>
                        <w:rFonts w:ascii="Calibri"/>
                        <w:b/>
                        <w:color w:val="FF0000"/>
                      </w:rPr>
                      <w:t>Not Applicable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F0" w:rsidRDefault="009F3ADF">
    <w:pPr>
      <w:pStyle w:val="BodyText"/>
      <w:spacing w:line="14" w:lineRule="auto"/>
      <w:rPr>
        <w:sz w:val="20"/>
      </w:rPr>
    </w:pPr>
    <w:r>
      <w:rPr>
        <w:noProof/>
        <w:lang w:bidi="ar-SA"/>
      </w:rPr>
      <mc:AlternateContent>
        <mc:Choice Requires="wps">
          <w:drawing>
            <wp:anchor distT="0" distB="0" distL="114300" distR="114300" simplePos="0" relativeHeight="251294720" behindDoc="1" locked="0" layoutInCell="1" allowOverlap="1" wp14:anchorId="18E5F131" wp14:editId="4862ADC8">
              <wp:simplePos x="0" y="0"/>
              <wp:positionH relativeFrom="page">
                <wp:posOffset>276225</wp:posOffset>
              </wp:positionH>
              <wp:positionV relativeFrom="page">
                <wp:posOffset>109054</wp:posOffset>
              </wp:positionV>
              <wp:extent cx="2638425" cy="904875"/>
              <wp:effectExtent l="0" t="0" r="2857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75pt;margin-top:8.6pt;width:207.75pt;height:71.2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" filled="f">
              <w10:wrap anchorx="page" anchory="page"/>
            </v:rect>
          </w:pict>
        </mc:Fallback>
      </mc:AlternateContent>
    </w:r>
    <w:r>
      <w:rPr>
        <w:noProof/>
        <w:lang w:bidi="ar-SA"/>
      </w:rPr>
      <mc:AlternateContent>
        <mc:Choice Requires="wps">
          <w:drawing>
            <wp:anchor distT="0" distB="0" distL="114300" distR="114300" simplePos="0" relativeHeight="251295744" behindDoc="1" locked="0" layoutInCell="1" allowOverlap="1" wp14:anchorId="0CB1A85A" wp14:editId="16943E3E">
              <wp:simplePos x="0" y="0"/>
              <wp:positionH relativeFrom="page">
                <wp:posOffset>360680</wp:posOffset>
              </wp:positionH>
              <wp:positionV relativeFrom="page">
                <wp:posOffset>246380</wp:posOffset>
              </wp:positionV>
              <wp:extent cx="1932305" cy="7543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F0" w:rsidRDefault="006E71C2">
                          <w:pPr>
                            <w:spacing w:line="245" w:lineRule="exact"/>
                            <w:ind w:left="20"/>
                            <w:rPr>
                              <w:rFonts w:ascii="Calibri"/>
                              <w:b/>
                            </w:rPr>
                          </w:pPr>
                          <w:r>
                            <w:rPr>
                              <w:rFonts w:ascii="Calibri"/>
                              <w:b/>
                            </w:rPr>
                            <w:t>Policy Category:</w:t>
                          </w:r>
                        </w:p>
                        <w:p w:rsidR="00F228F0" w:rsidRDefault="006E71C2">
                          <w:pPr>
                            <w:spacing w:before="38"/>
                            <w:ind w:left="20"/>
                            <w:rPr>
                              <w:rFonts w:ascii="Calibri"/>
                              <w:b/>
                            </w:rPr>
                          </w:pPr>
                          <w:r>
                            <w:rPr>
                              <w:rFonts w:ascii="Calibri"/>
                              <w:b/>
                              <w:color w:val="FF0000"/>
                            </w:rPr>
                            <w:t>CBA</w:t>
                          </w:r>
                        </w:p>
                        <w:p w:rsidR="00F228F0" w:rsidRDefault="006E71C2">
                          <w:pPr>
                            <w:spacing w:before="41" w:line="276" w:lineRule="auto"/>
                            <w:ind w:left="20" w:right="4"/>
                            <w:rPr>
                              <w:rFonts w:ascii="Calibri"/>
                              <w:b/>
                            </w:rPr>
                          </w:pPr>
                          <w:r>
                            <w:rPr>
                              <w:rFonts w:ascii="Calibri"/>
                              <w:b/>
                            </w:rPr>
                            <w:t xml:space="preserve">Who usually applies for funding? </w:t>
                          </w:r>
                          <w:r>
                            <w:rPr>
                              <w:rFonts w:ascii="Calibri"/>
                              <w:b/>
                              <w:color w:val="FF0000"/>
                            </w:rPr>
                            <w:t>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8.4pt;margin-top:19.4pt;width:152.15pt;height:59.4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PIsgIAALA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" filled="f" stroked="f">
              <v:textbox inset="0,0,0,0">
                <w:txbxContent>
                  <w:p w:rsidR="00F228F0" w:rsidRDefault="006E71C2">
                    <w:pPr>
                      <w:spacing w:line="245" w:lineRule="exact"/>
                      <w:ind w:left="20"/>
                      <w:rPr>
                        <w:rFonts w:ascii="Calibri"/>
                        <w:b/>
                      </w:rPr>
                    </w:pPr>
                    <w:r>
                      <w:rPr>
                        <w:rFonts w:ascii="Calibri"/>
                        <w:b/>
                      </w:rPr>
                      <w:t>Policy Category:</w:t>
                    </w:r>
                  </w:p>
                  <w:p w:rsidR="00F228F0" w:rsidRDefault="006E71C2">
                    <w:pPr>
                      <w:spacing w:before="38"/>
                      <w:ind w:left="20"/>
                      <w:rPr>
                        <w:rFonts w:ascii="Calibri"/>
                        <w:b/>
                      </w:rPr>
                    </w:pPr>
                    <w:r>
                      <w:rPr>
                        <w:rFonts w:ascii="Calibri"/>
                        <w:b/>
                        <w:color w:val="FF0000"/>
                      </w:rPr>
                      <w:t>CBA</w:t>
                    </w:r>
                  </w:p>
                  <w:p w:rsidR="00F228F0" w:rsidRDefault="006E71C2">
                    <w:pPr>
                      <w:spacing w:before="41" w:line="276" w:lineRule="auto"/>
                      <w:ind w:left="20" w:right="4"/>
                      <w:rPr>
                        <w:rFonts w:ascii="Calibri"/>
                        <w:b/>
                      </w:rPr>
                    </w:pPr>
                    <w:r>
                      <w:rPr>
                        <w:rFonts w:ascii="Calibri"/>
                        <w:b/>
                      </w:rPr>
                      <w:t xml:space="preserve">Who usually applies for funding? </w:t>
                    </w:r>
                    <w:r>
                      <w:rPr>
                        <w:rFonts w:ascii="Calibri"/>
                        <w:b/>
                        <w:color w:val="FF0000"/>
                      </w:rPr>
                      <w:t>Not Applicable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1592"/>
    <w:multiLevelType w:val="hybridMultilevel"/>
    <w:tmpl w:val="8A66DB4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nsid w:val="1B4D0615"/>
    <w:multiLevelType w:val="hybridMultilevel"/>
    <w:tmpl w:val="F18A01A6"/>
    <w:lvl w:ilvl="0" w:tplc="AC6C326E">
      <w:numFmt w:val="bullet"/>
      <w:lvlText w:val=""/>
      <w:lvlJc w:val="left"/>
      <w:pPr>
        <w:ind w:left="811" w:hanging="425"/>
      </w:pPr>
      <w:rPr>
        <w:rFonts w:ascii="Symbol" w:eastAsia="Symbol" w:hAnsi="Symbol" w:cs="Symbol" w:hint="default"/>
        <w:w w:val="100"/>
        <w:sz w:val="22"/>
        <w:szCs w:val="22"/>
        <w:lang w:val="en-GB" w:eastAsia="en-GB" w:bidi="en-GB"/>
      </w:rPr>
    </w:lvl>
    <w:lvl w:ilvl="1" w:tplc="13AAB96A">
      <w:numFmt w:val="bullet"/>
      <w:lvlText w:val="•"/>
      <w:lvlJc w:val="left"/>
      <w:pPr>
        <w:ind w:left="1661" w:hanging="425"/>
      </w:pPr>
      <w:rPr>
        <w:rFonts w:hint="default"/>
        <w:lang w:val="en-GB" w:eastAsia="en-GB" w:bidi="en-GB"/>
      </w:rPr>
    </w:lvl>
    <w:lvl w:ilvl="2" w:tplc="8B1E8C5C">
      <w:numFmt w:val="bullet"/>
      <w:lvlText w:val="•"/>
      <w:lvlJc w:val="left"/>
      <w:pPr>
        <w:ind w:left="2502" w:hanging="425"/>
      </w:pPr>
      <w:rPr>
        <w:rFonts w:hint="default"/>
        <w:lang w:val="en-GB" w:eastAsia="en-GB" w:bidi="en-GB"/>
      </w:rPr>
    </w:lvl>
    <w:lvl w:ilvl="3" w:tplc="4DC0312A">
      <w:numFmt w:val="bullet"/>
      <w:lvlText w:val="•"/>
      <w:lvlJc w:val="left"/>
      <w:pPr>
        <w:ind w:left="3343" w:hanging="425"/>
      </w:pPr>
      <w:rPr>
        <w:rFonts w:hint="default"/>
        <w:lang w:val="en-GB" w:eastAsia="en-GB" w:bidi="en-GB"/>
      </w:rPr>
    </w:lvl>
    <w:lvl w:ilvl="4" w:tplc="8FD68430">
      <w:numFmt w:val="bullet"/>
      <w:lvlText w:val="•"/>
      <w:lvlJc w:val="left"/>
      <w:pPr>
        <w:ind w:left="4185" w:hanging="425"/>
      </w:pPr>
      <w:rPr>
        <w:rFonts w:hint="default"/>
        <w:lang w:val="en-GB" w:eastAsia="en-GB" w:bidi="en-GB"/>
      </w:rPr>
    </w:lvl>
    <w:lvl w:ilvl="5" w:tplc="8384FA46">
      <w:numFmt w:val="bullet"/>
      <w:lvlText w:val="•"/>
      <w:lvlJc w:val="left"/>
      <w:pPr>
        <w:ind w:left="5026" w:hanging="425"/>
      </w:pPr>
      <w:rPr>
        <w:rFonts w:hint="default"/>
        <w:lang w:val="en-GB" w:eastAsia="en-GB" w:bidi="en-GB"/>
      </w:rPr>
    </w:lvl>
    <w:lvl w:ilvl="6" w:tplc="E8B4E1DC">
      <w:numFmt w:val="bullet"/>
      <w:lvlText w:val="•"/>
      <w:lvlJc w:val="left"/>
      <w:pPr>
        <w:ind w:left="5867" w:hanging="425"/>
      </w:pPr>
      <w:rPr>
        <w:rFonts w:hint="default"/>
        <w:lang w:val="en-GB" w:eastAsia="en-GB" w:bidi="en-GB"/>
      </w:rPr>
    </w:lvl>
    <w:lvl w:ilvl="7" w:tplc="3C6C72FC">
      <w:numFmt w:val="bullet"/>
      <w:lvlText w:val="•"/>
      <w:lvlJc w:val="left"/>
      <w:pPr>
        <w:ind w:left="6708" w:hanging="425"/>
      </w:pPr>
      <w:rPr>
        <w:rFonts w:hint="default"/>
        <w:lang w:val="en-GB" w:eastAsia="en-GB" w:bidi="en-GB"/>
      </w:rPr>
    </w:lvl>
    <w:lvl w:ilvl="8" w:tplc="AFAE1E94">
      <w:numFmt w:val="bullet"/>
      <w:lvlText w:val="•"/>
      <w:lvlJc w:val="left"/>
      <w:pPr>
        <w:ind w:left="7550" w:hanging="425"/>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F0"/>
    <w:rsid w:val="000E34A0"/>
    <w:rsid w:val="002E2C72"/>
    <w:rsid w:val="003F5080"/>
    <w:rsid w:val="00511AE4"/>
    <w:rsid w:val="006E71C2"/>
    <w:rsid w:val="0072082D"/>
    <w:rsid w:val="009F3ADF"/>
    <w:rsid w:val="00CF05E6"/>
    <w:rsid w:val="00D02B6D"/>
    <w:rsid w:val="00D12090"/>
    <w:rsid w:val="00DD63E1"/>
    <w:rsid w:val="00F22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20"/>
      <w:outlineLvl w:val="0"/>
    </w:pPr>
    <w:rPr>
      <w:b/>
      <w:bCs/>
      <w:sz w:val="24"/>
      <w:szCs w:val="24"/>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4" w:lineRule="exact"/>
      <w:ind w:left="107"/>
    </w:pPr>
  </w:style>
  <w:style w:type="table" w:styleId="TableGrid">
    <w:name w:val="Table Grid"/>
    <w:basedOn w:val="TableNormal"/>
    <w:uiPriority w:val="59"/>
    <w:rsid w:val="00720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3E1"/>
    <w:pPr>
      <w:tabs>
        <w:tab w:val="center" w:pos="4513"/>
        <w:tab w:val="right" w:pos="9026"/>
      </w:tabs>
    </w:pPr>
  </w:style>
  <w:style w:type="character" w:customStyle="1" w:styleId="HeaderChar">
    <w:name w:val="Header Char"/>
    <w:basedOn w:val="DefaultParagraphFont"/>
    <w:link w:val="Header"/>
    <w:uiPriority w:val="99"/>
    <w:rsid w:val="00DD63E1"/>
    <w:rPr>
      <w:rFonts w:ascii="Arial" w:eastAsia="Arial" w:hAnsi="Arial" w:cs="Arial"/>
      <w:lang w:val="en-GB" w:eastAsia="en-GB" w:bidi="en-GB"/>
    </w:rPr>
  </w:style>
  <w:style w:type="paragraph" w:styleId="Footer">
    <w:name w:val="footer"/>
    <w:basedOn w:val="Normal"/>
    <w:link w:val="FooterChar"/>
    <w:uiPriority w:val="99"/>
    <w:unhideWhenUsed/>
    <w:rsid w:val="00DD63E1"/>
    <w:pPr>
      <w:tabs>
        <w:tab w:val="center" w:pos="4513"/>
        <w:tab w:val="right" w:pos="9026"/>
      </w:tabs>
    </w:pPr>
  </w:style>
  <w:style w:type="character" w:customStyle="1" w:styleId="FooterChar">
    <w:name w:val="Footer Char"/>
    <w:basedOn w:val="DefaultParagraphFont"/>
    <w:link w:val="Footer"/>
    <w:uiPriority w:val="99"/>
    <w:rsid w:val="00DD63E1"/>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20"/>
      <w:outlineLvl w:val="0"/>
    </w:pPr>
    <w:rPr>
      <w:b/>
      <w:bCs/>
      <w:sz w:val="24"/>
      <w:szCs w:val="24"/>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4" w:lineRule="exact"/>
      <w:ind w:left="107"/>
    </w:pPr>
  </w:style>
  <w:style w:type="table" w:styleId="TableGrid">
    <w:name w:val="Table Grid"/>
    <w:basedOn w:val="TableNormal"/>
    <w:uiPriority w:val="59"/>
    <w:rsid w:val="00720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3E1"/>
    <w:pPr>
      <w:tabs>
        <w:tab w:val="center" w:pos="4513"/>
        <w:tab w:val="right" w:pos="9026"/>
      </w:tabs>
    </w:pPr>
  </w:style>
  <w:style w:type="character" w:customStyle="1" w:styleId="HeaderChar">
    <w:name w:val="Header Char"/>
    <w:basedOn w:val="DefaultParagraphFont"/>
    <w:link w:val="Header"/>
    <w:uiPriority w:val="99"/>
    <w:rsid w:val="00DD63E1"/>
    <w:rPr>
      <w:rFonts w:ascii="Arial" w:eastAsia="Arial" w:hAnsi="Arial" w:cs="Arial"/>
      <w:lang w:val="en-GB" w:eastAsia="en-GB" w:bidi="en-GB"/>
    </w:rPr>
  </w:style>
  <w:style w:type="paragraph" w:styleId="Footer">
    <w:name w:val="footer"/>
    <w:basedOn w:val="Normal"/>
    <w:link w:val="FooterChar"/>
    <w:uiPriority w:val="99"/>
    <w:unhideWhenUsed/>
    <w:rsid w:val="00DD63E1"/>
    <w:pPr>
      <w:tabs>
        <w:tab w:val="center" w:pos="4513"/>
        <w:tab w:val="right" w:pos="9026"/>
      </w:tabs>
    </w:pPr>
  </w:style>
  <w:style w:type="character" w:customStyle="1" w:styleId="FooterChar">
    <w:name w:val="Footer Char"/>
    <w:basedOn w:val="DefaultParagraphFont"/>
    <w:link w:val="Footer"/>
    <w:uiPriority w:val="99"/>
    <w:rsid w:val="00DD63E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LCCG.IFR@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nt.cochrane.org/guidelines" TargetMode="External"/><Relationship Id="rId4" Type="http://schemas.openxmlformats.org/officeDocument/2006/relationships/settings" Target="settings.xml"/><Relationship Id="rId9" Type="http://schemas.openxmlformats.org/officeDocument/2006/relationships/hyperlink" Target="https://www.nice.org.uk/guidance/cg6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dcterms:created xsi:type="dcterms:W3CDTF">2021-05-27T07:38:00Z</dcterms:created>
  <dcterms:modified xsi:type="dcterms:W3CDTF">2021-05-27T07:38:00Z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Acrobat PDFMaker 15 for Word</vt:lpwstr>
  </property>
  <property fmtid="{D5CDD505-2E9C-101B-9397-08002B2CF9AE}" pid="4" name="LastSaved">
    <vt:filetime>2021-05-18T00:00:00Z</vt:filetime>
  </property>
</Properties>
</file>