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6C" w:rsidRDefault="009C3737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4736576</wp:posOffset>
            </wp:positionH>
            <wp:positionV relativeFrom="page">
              <wp:posOffset>475468</wp:posOffset>
            </wp:positionV>
            <wp:extent cx="2560269" cy="6641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69" cy="664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B6C" w:rsidRDefault="00DC6B6C">
      <w:pPr>
        <w:pStyle w:val="BodyText"/>
        <w:spacing w:before="4"/>
        <w:rPr>
          <w:rFonts w:ascii="Times New Roman"/>
          <w:sz w:val="18"/>
        </w:rPr>
      </w:pPr>
    </w:p>
    <w:p w:rsidR="00DC6B6C" w:rsidRDefault="009C3737">
      <w:pPr>
        <w:pStyle w:val="Heading1"/>
        <w:spacing w:before="92"/>
        <w:ind w:left="2875" w:right="2862"/>
        <w:jc w:val="center"/>
      </w:pPr>
      <w:r>
        <w:t>Acne - Pulse-dye laser treatment</w:t>
      </w:r>
    </w:p>
    <w:p w:rsidR="00DC6B6C" w:rsidRDefault="00DC6B6C">
      <w:pPr>
        <w:pStyle w:val="BodyText"/>
        <w:rPr>
          <w:b/>
          <w:sz w:val="20"/>
        </w:rPr>
      </w:pPr>
    </w:p>
    <w:p w:rsidR="00DC6B6C" w:rsidRDefault="00DC6B6C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1"/>
      </w:tblGrid>
      <w:tr w:rsidR="00DC6B6C" w:rsidTr="009C3737">
        <w:trPr>
          <w:trHeight w:val="1232"/>
        </w:trPr>
        <w:tc>
          <w:tcPr>
            <w:tcW w:w="2093" w:type="dxa"/>
            <w:shd w:val="clear" w:color="auto" w:fill="D9D9D9"/>
          </w:tcPr>
          <w:p w:rsidR="00DC6B6C" w:rsidRPr="009C3737" w:rsidRDefault="009C3737">
            <w:pPr>
              <w:pStyle w:val="TableParagraph"/>
              <w:ind w:right="155"/>
              <w:rPr>
                <w:b/>
              </w:rPr>
            </w:pPr>
            <w:r w:rsidRPr="009C3737">
              <w:rPr>
                <w:b/>
              </w:rPr>
              <w:t>Commissioning decision</w:t>
            </w:r>
          </w:p>
        </w:tc>
        <w:tc>
          <w:tcPr>
            <w:tcW w:w="7151" w:type="dxa"/>
          </w:tcPr>
          <w:p w:rsidR="00DC6B6C" w:rsidRPr="009C3737" w:rsidRDefault="009C3737">
            <w:pPr>
              <w:pStyle w:val="TableParagraph"/>
              <w:ind w:right="118"/>
              <w:rPr>
                <w:b/>
              </w:rPr>
            </w:pPr>
            <w:r w:rsidRPr="009C3737">
              <w:rPr>
                <w:b/>
              </w:rPr>
              <w:t>Acne - Pulse-dye laser treatment is considered a low priority for funding and will only be considered in exceptional circumstances. Funding approval must be sought from the CCG via the Individual Funding Request process prior to treatment.</w:t>
            </w:r>
          </w:p>
        </w:tc>
      </w:tr>
    </w:tbl>
    <w:p w:rsidR="00DC6B6C" w:rsidRDefault="00DC6B6C">
      <w:pPr>
        <w:pStyle w:val="BodyText"/>
        <w:spacing w:before="11"/>
        <w:rPr>
          <w:b/>
          <w:sz w:val="26"/>
        </w:rPr>
      </w:pPr>
    </w:p>
    <w:p w:rsidR="00DC6B6C" w:rsidRPr="009C3737" w:rsidRDefault="00A01C84">
      <w:pPr>
        <w:ind w:left="240"/>
        <w:rPr>
          <w:b/>
        </w:rPr>
      </w:pPr>
      <w:r w:rsidRPr="009C37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F6B006" wp14:editId="37CBC73F">
                <wp:simplePos x="0" y="0"/>
                <wp:positionH relativeFrom="page">
                  <wp:posOffset>842645</wp:posOffset>
                </wp:positionH>
                <wp:positionV relativeFrom="paragraph">
                  <wp:posOffset>212725</wp:posOffset>
                </wp:positionV>
                <wp:extent cx="5869940" cy="317500"/>
                <wp:effectExtent l="0" t="0" r="16510" b="2540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B6C" w:rsidRDefault="009C3737">
                            <w:pPr>
                              <w:pStyle w:val="BodyText"/>
                              <w:spacing w:line="251" w:lineRule="exact"/>
                              <w:ind w:left="103"/>
                            </w:pPr>
                            <w:r>
                              <w:t>Not normally funded.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35pt;margin-top:16.75pt;width:462.2pt;height: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" filled="f" strokeweight=".48pt">
                <v:textbox inset="0,0,0,0">
                  <w:txbxContent>
                    <w:p w:rsidR="00DC6B6C" w:rsidRDefault="009C3737">
                      <w:pPr>
                        <w:pStyle w:val="BodyText"/>
                        <w:spacing w:line="251" w:lineRule="exact"/>
                        <w:ind w:left="103"/>
                      </w:pPr>
                      <w:r>
                        <w:t>Not normally funded.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3737" w:rsidRPr="009C3737">
        <w:rPr>
          <w:b/>
        </w:rPr>
        <w:t>Policy Statement</w:t>
      </w:r>
      <w:r w:rsidR="009C3737">
        <w:rPr>
          <w:b/>
        </w:rPr>
        <w:t>:</w:t>
      </w:r>
    </w:p>
    <w:p w:rsidR="00DC6B6C" w:rsidRDefault="00DC6B6C">
      <w:pPr>
        <w:pStyle w:val="BodyText"/>
        <w:spacing w:before="10"/>
        <w:rPr>
          <w:b/>
        </w:rPr>
      </w:pPr>
    </w:p>
    <w:p w:rsidR="00DC6B6C" w:rsidRPr="009C3737" w:rsidRDefault="00A01C84">
      <w:pPr>
        <w:ind w:left="240"/>
        <w:rPr>
          <w:b/>
        </w:rPr>
      </w:pPr>
      <w:r w:rsidRPr="009C37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08525C" wp14:editId="1A4C5EF4">
                <wp:simplePos x="0" y="0"/>
                <wp:positionH relativeFrom="page">
                  <wp:posOffset>842645</wp:posOffset>
                </wp:positionH>
                <wp:positionV relativeFrom="paragraph">
                  <wp:posOffset>205105</wp:posOffset>
                </wp:positionV>
                <wp:extent cx="5869940" cy="476885"/>
                <wp:effectExtent l="0" t="0" r="16510" b="1841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476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B6C" w:rsidRDefault="009C3737">
                            <w:pPr>
                              <w:pStyle w:val="BodyText"/>
                              <w:ind w:left="103" w:right="233"/>
                            </w:pPr>
                            <w:r>
                              <w:t>Laser treatment does not offer a permanent cure for acne. Laser treatment may temporarily reduce acne spots and redness, but the evidence is based on small studies.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6.35pt;margin-top:16.15pt;width:462.2pt;height:3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" filled="f" strokeweight=".48pt">
                <v:textbox inset="0,0,0,0">
                  <w:txbxContent>
                    <w:p w:rsidR="00DC6B6C" w:rsidRDefault="009C3737">
                      <w:pPr>
                        <w:pStyle w:val="BodyText"/>
                        <w:ind w:left="103" w:right="233"/>
                      </w:pPr>
                      <w:r>
                        <w:t>Laser treatment does not offer a permanent cure for acne. Laser treatment may temporarily reduce acne spots and redness, but the evidence is based on small studies.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3737" w:rsidRPr="009C3737">
        <w:rPr>
          <w:b/>
        </w:rPr>
        <w:t>Rationale:</w:t>
      </w:r>
    </w:p>
    <w:p w:rsidR="00DC6B6C" w:rsidRDefault="00DC6B6C">
      <w:pPr>
        <w:pStyle w:val="BodyText"/>
        <w:spacing w:before="4"/>
        <w:rPr>
          <w:b/>
          <w:sz w:val="23"/>
        </w:rPr>
      </w:pPr>
    </w:p>
    <w:p w:rsidR="00DC6B6C" w:rsidRDefault="00A01C84">
      <w:pPr>
        <w:ind w:left="240"/>
        <w:rPr>
          <w:b/>
          <w:sz w:val="24"/>
        </w:rPr>
      </w:pPr>
      <w:r w:rsidRPr="009C37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F7217FA" wp14:editId="370EBEB1">
                <wp:simplePos x="0" y="0"/>
                <wp:positionH relativeFrom="page">
                  <wp:posOffset>842645</wp:posOffset>
                </wp:positionH>
                <wp:positionV relativeFrom="paragraph">
                  <wp:posOffset>206375</wp:posOffset>
                </wp:positionV>
                <wp:extent cx="5869940" cy="2345055"/>
                <wp:effectExtent l="0" t="0" r="16510" b="171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45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B6C" w:rsidRDefault="009C3737">
                            <w:pPr>
                              <w:pStyle w:val="BodyText"/>
                              <w:ind w:left="103" w:right="429"/>
                            </w:pPr>
                            <w:r>
                              <w:t>Laser or light therapy (pulses of</w:t>
                            </w:r>
                            <w:r>
                              <w:t xml:space="preserve"> light) can reduce the redness in a scar by targeting the blood vessels in the excess scar tissue. For some pitted scars, laser surgery (laser re- surfacing) is used to try to make the scar flatter. This involves using a laser to remove the top layers of s</w:t>
                            </w:r>
                            <w:r>
                              <w:t>kin, which stimulates collagen production in the deeper layers.</w:t>
                            </w:r>
                          </w:p>
                          <w:p w:rsidR="00DC6B6C" w:rsidRDefault="00DC6B6C">
                            <w:pPr>
                              <w:pStyle w:val="BodyText"/>
                              <w:spacing w:before="1"/>
                            </w:pPr>
                          </w:p>
                          <w:p w:rsidR="00DC6B6C" w:rsidRDefault="009C3737">
                            <w:pPr>
                              <w:pStyle w:val="BodyText"/>
                              <w:spacing w:before="1"/>
                              <w:ind w:left="103" w:right="319"/>
                            </w:pPr>
                            <w:r>
                              <w:t>However, there are very few long-term studies to prove the effectiveness and safety of this therapy, and it is therefore not routinely funded by the NHS in Gloucestershire but may be consider</w:t>
                            </w:r>
                            <w:r>
                              <w:t>ed in exceptional circumstances.</w:t>
                            </w:r>
                          </w:p>
                          <w:p w:rsidR="00DC6B6C" w:rsidRDefault="00DC6B6C">
                            <w:pPr>
                              <w:pStyle w:val="BodyText"/>
                            </w:pPr>
                          </w:p>
                          <w:p w:rsidR="00DC6B6C" w:rsidRDefault="009C3737">
                            <w:pPr>
                              <w:pStyle w:val="BodyText"/>
                              <w:spacing w:before="1"/>
                              <w:ind w:left="103" w:right="135"/>
                            </w:pPr>
                            <w:r>
                              <w:t xml:space="preserve">If your doctor believes you should be considered for this treatment your doctor will need to complete an Individual Funding Request application form to request funding from the </w:t>
                            </w:r>
                            <w:proofErr w:type="gramStart"/>
                            <w:r>
                              <w:t>CCG,</w:t>
                            </w:r>
                            <w:proofErr w:type="gramEnd"/>
                            <w:r>
                              <w:t xml:space="preserve"> and within this application will need to</w:t>
                            </w:r>
                            <w:r>
                              <w:t xml:space="preserve"> demonstrate why your circumstances are exceptional. The CCG will consider such applications on a case by case basis in order to determine whether or not the procedure would be funded on the NHS.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6.35pt;margin-top:16.25pt;width:462.2pt;height:18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1vhwIAACAFAAAOAAAAZHJzL2Uyb0RvYy54bWysVG1v2yAQ/j5p/wHxPbWdOl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" filled="f" strokeweight=".48pt">
                <v:textbox inset="0,0,0,0">
                  <w:txbxContent>
                    <w:p w:rsidR="00DC6B6C" w:rsidRDefault="009C3737">
                      <w:pPr>
                        <w:pStyle w:val="BodyText"/>
                        <w:ind w:left="103" w:right="429"/>
                      </w:pPr>
                      <w:r>
                        <w:t>Laser or light therapy (pulses of</w:t>
                      </w:r>
                      <w:r>
                        <w:t xml:space="preserve"> light) can reduce the redness in a scar by targeting the blood vessels in the excess scar tissue. For some pitted scars, laser surgery (laser re- surfacing) is used to try to make the scar flatter. This involves using a laser to remove the top layers of s</w:t>
                      </w:r>
                      <w:r>
                        <w:t>kin, which stimulates collagen production in the deeper layers.</w:t>
                      </w:r>
                    </w:p>
                    <w:p w:rsidR="00DC6B6C" w:rsidRDefault="00DC6B6C">
                      <w:pPr>
                        <w:pStyle w:val="BodyText"/>
                        <w:spacing w:before="1"/>
                      </w:pPr>
                    </w:p>
                    <w:p w:rsidR="00DC6B6C" w:rsidRDefault="009C3737">
                      <w:pPr>
                        <w:pStyle w:val="BodyText"/>
                        <w:spacing w:before="1"/>
                        <w:ind w:left="103" w:right="319"/>
                      </w:pPr>
                      <w:r>
                        <w:t>However, there are very few long-term studies to prove the effectiveness and safety of this therapy, and it is therefore not routinely funded by the NHS in Gloucestershire but may be consider</w:t>
                      </w:r>
                      <w:r>
                        <w:t>ed in exceptional circumstances.</w:t>
                      </w:r>
                    </w:p>
                    <w:p w:rsidR="00DC6B6C" w:rsidRDefault="00DC6B6C">
                      <w:pPr>
                        <w:pStyle w:val="BodyText"/>
                      </w:pPr>
                    </w:p>
                    <w:p w:rsidR="00DC6B6C" w:rsidRDefault="009C3737">
                      <w:pPr>
                        <w:pStyle w:val="BodyText"/>
                        <w:spacing w:before="1"/>
                        <w:ind w:left="103" w:right="135"/>
                      </w:pPr>
                      <w:r>
                        <w:t xml:space="preserve">If your doctor believes you should be considered for this treatment your doctor will need to complete an Individual Funding Request application form to request funding from the </w:t>
                      </w:r>
                      <w:proofErr w:type="gramStart"/>
                      <w:r>
                        <w:t>CCG,</w:t>
                      </w:r>
                      <w:proofErr w:type="gramEnd"/>
                      <w:r>
                        <w:t xml:space="preserve"> and within this application will need to</w:t>
                      </w:r>
                      <w:r>
                        <w:t xml:space="preserve"> demonstrate why your circumstances are exceptional. The CCG will consider such applications on a case by case basis in order to determine whether or not the procedure would be funded on the NHS.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3737" w:rsidRPr="009C3737">
        <w:rPr>
          <w:b/>
        </w:rPr>
        <w:t>Plain English Summary</w:t>
      </w:r>
      <w:r w:rsidR="009C3737">
        <w:rPr>
          <w:b/>
          <w:sz w:val="24"/>
        </w:rPr>
        <w:t>:</w:t>
      </w:r>
    </w:p>
    <w:p w:rsidR="00DC6B6C" w:rsidRDefault="00DC6B6C">
      <w:pPr>
        <w:pStyle w:val="BodyText"/>
        <w:spacing w:before="4"/>
        <w:rPr>
          <w:b/>
        </w:rPr>
      </w:pPr>
    </w:p>
    <w:p w:rsidR="00DC6B6C" w:rsidRPr="009C3737" w:rsidRDefault="00A01C84">
      <w:pPr>
        <w:spacing w:before="1"/>
        <w:ind w:left="240"/>
        <w:rPr>
          <w:b/>
        </w:rPr>
      </w:pPr>
      <w:r w:rsidRPr="009C373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6E2809D" wp14:editId="6A6CF6FA">
                <wp:simplePos x="0" y="0"/>
                <wp:positionH relativeFrom="page">
                  <wp:posOffset>842645</wp:posOffset>
                </wp:positionH>
                <wp:positionV relativeFrom="paragraph">
                  <wp:posOffset>210185</wp:posOffset>
                </wp:positionV>
                <wp:extent cx="5869940" cy="897890"/>
                <wp:effectExtent l="0" t="0" r="16510" b="1651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897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6B6C" w:rsidRPr="009C3737" w:rsidRDefault="009C3737">
                            <w:pPr>
                              <w:spacing w:line="295" w:lineRule="auto"/>
                              <w:ind w:left="103" w:right="928"/>
                            </w:pPr>
                            <w:r w:rsidRPr="009C3737">
                              <w:t xml:space="preserve">Yung et al Comparison of PDL and combined 585/1064nm laser in acne vulgaris </w:t>
                            </w:r>
                            <w:proofErr w:type="spellStart"/>
                            <w:r w:rsidRPr="009C3737">
                              <w:t>Dermatol</w:t>
                            </w:r>
                            <w:proofErr w:type="spellEnd"/>
                            <w:r w:rsidRPr="009C3737">
                              <w:t xml:space="preserve"> </w:t>
                            </w:r>
                            <w:proofErr w:type="spellStart"/>
                            <w:r w:rsidRPr="009C3737">
                              <w:t>Surg</w:t>
                            </w:r>
                            <w:proofErr w:type="spellEnd"/>
                            <w:r w:rsidRPr="009C3737">
                              <w:t xml:space="preserve"> 2009; 35:1-7</w:t>
                            </w:r>
                          </w:p>
                          <w:p w:rsidR="00DC6B6C" w:rsidRPr="009C3737" w:rsidRDefault="00DC6B6C">
                            <w:pPr>
                              <w:pStyle w:val="BodyText"/>
                              <w:spacing w:before="2"/>
                            </w:pPr>
                          </w:p>
                          <w:p w:rsidR="00DC6B6C" w:rsidRPr="009C3737" w:rsidRDefault="009C3737">
                            <w:pPr>
                              <w:ind w:left="103"/>
                            </w:pPr>
                            <w:proofErr w:type="gramStart"/>
                            <w:r w:rsidRPr="009C3737">
                              <w:t>Established local clinical practice.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6.35pt;margin-top:16.55pt;width:462.2pt;height:70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" filled="f" strokeweight=".48pt">
                <v:textbox inset="0,0,0,0">
                  <w:txbxContent>
                    <w:p w:rsidR="00DC6B6C" w:rsidRPr="009C3737" w:rsidRDefault="009C3737">
                      <w:pPr>
                        <w:spacing w:line="295" w:lineRule="auto"/>
                        <w:ind w:left="103" w:right="928"/>
                      </w:pPr>
                      <w:r w:rsidRPr="009C3737">
                        <w:t xml:space="preserve">Yung et al Comparison of PDL and combined 585/1064nm laser in acne vulgaris </w:t>
                      </w:r>
                      <w:proofErr w:type="spellStart"/>
                      <w:r w:rsidRPr="009C3737">
                        <w:t>Dermatol</w:t>
                      </w:r>
                      <w:proofErr w:type="spellEnd"/>
                      <w:r w:rsidRPr="009C3737">
                        <w:t xml:space="preserve"> </w:t>
                      </w:r>
                      <w:proofErr w:type="spellStart"/>
                      <w:r w:rsidRPr="009C3737">
                        <w:t>Surg</w:t>
                      </w:r>
                      <w:proofErr w:type="spellEnd"/>
                      <w:r w:rsidRPr="009C3737">
                        <w:t xml:space="preserve"> 2009; 35:1-7</w:t>
                      </w:r>
                    </w:p>
                    <w:p w:rsidR="00DC6B6C" w:rsidRPr="009C3737" w:rsidRDefault="00DC6B6C">
                      <w:pPr>
                        <w:pStyle w:val="BodyText"/>
                        <w:spacing w:before="2"/>
                      </w:pPr>
                    </w:p>
                    <w:p w:rsidR="00DC6B6C" w:rsidRPr="009C3737" w:rsidRDefault="009C3737">
                      <w:pPr>
                        <w:ind w:left="103"/>
                      </w:pPr>
                      <w:proofErr w:type="gramStart"/>
                      <w:r w:rsidRPr="009C3737">
                        <w:t>Established local clinical practice.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3737" w:rsidRPr="009C3737">
        <w:rPr>
          <w:b/>
        </w:rPr>
        <w:t>Evidence base:</w:t>
      </w:r>
    </w:p>
    <w:p w:rsidR="00DC6B6C" w:rsidRDefault="00DC6B6C">
      <w:pPr>
        <w:pStyle w:val="BodyText"/>
        <w:spacing w:before="4"/>
        <w:rPr>
          <w:b/>
          <w:sz w:val="23"/>
        </w:rPr>
      </w:pPr>
    </w:p>
    <w:p w:rsidR="00DC6B6C" w:rsidRPr="009C3737" w:rsidRDefault="009C3737">
      <w:pPr>
        <w:ind w:left="240"/>
      </w:pPr>
      <w:r w:rsidRPr="009C3737">
        <w:t>Link to application form – Not applicable</w:t>
      </w:r>
    </w:p>
    <w:p w:rsidR="00DC6B6C" w:rsidRPr="009C3737" w:rsidRDefault="009C3737">
      <w:pPr>
        <w:spacing w:before="41"/>
        <w:ind w:left="240"/>
      </w:pPr>
      <w:r w:rsidRPr="009C3737">
        <w:t xml:space="preserve">For further information please contact </w:t>
      </w:r>
      <w:hyperlink r:id="rId8">
        <w:r w:rsidRPr="009C3737">
          <w:rPr>
            <w:color w:val="0000FF"/>
            <w:u w:val="single" w:color="0000FF"/>
          </w:rPr>
          <w:t>GLCCG.IFR@nhs.net</w:t>
        </w:r>
      </w:hyperlink>
    </w:p>
    <w:p w:rsidR="00DC6B6C" w:rsidRPr="009C3737" w:rsidRDefault="00DC6B6C">
      <w:pPr>
        <w:pStyle w:val="BodyText"/>
      </w:pPr>
    </w:p>
    <w:p w:rsidR="00DC6B6C" w:rsidRDefault="00DC6B6C">
      <w:pPr>
        <w:pStyle w:val="BodyText"/>
        <w:spacing w:before="5"/>
        <w:rPr>
          <w:sz w:val="1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726"/>
      </w:tblGrid>
      <w:tr w:rsidR="00DC6B6C">
        <w:trPr>
          <w:trHeight w:val="253"/>
        </w:trPr>
        <w:tc>
          <w:tcPr>
            <w:tcW w:w="2518" w:type="dxa"/>
          </w:tcPr>
          <w:p w:rsidR="00DC6B6C" w:rsidRDefault="009C373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Date of publication</w:t>
            </w:r>
          </w:p>
        </w:tc>
        <w:tc>
          <w:tcPr>
            <w:tcW w:w="6726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December 2015</w:t>
            </w:r>
          </w:p>
        </w:tc>
      </w:tr>
      <w:tr w:rsidR="00DC6B6C">
        <w:trPr>
          <w:trHeight w:val="253"/>
        </w:trPr>
        <w:tc>
          <w:tcPr>
            <w:tcW w:w="2518" w:type="dxa"/>
          </w:tcPr>
          <w:p w:rsidR="00DC6B6C" w:rsidRDefault="009C373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Policy review date</w:t>
            </w:r>
          </w:p>
        </w:tc>
        <w:tc>
          <w:tcPr>
            <w:tcW w:w="6726" w:type="dxa"/>
          </w:tcPr>
          <w:p w:rsidR="00DC6B6C" w:rsidRDefault="00A01C84">
            <w:pPr>
              <w:pStyle w:val="TableParagraph"/>
              <w:spacing w:line="234" w:lineRule="exact"/>
            </w:pPr>
            <w:r>
              <w:t>June 2024</w:t>
            </w:r>
          </w:p>
        </w:tc>
      </w:tr>
    </w:tbl>
    <w:p w:rsidR="00DC6B6C" w:rsidRDefault="00DC6B6C">
      <w:pPr>
        <w:spacing w:line="234" w:lineRule="exact"/>
        <w:sectPr w:rsidR="00DC6B6C">
          <w:headerReference w:type="default" r:id="rId9"/>
          <w:footerReference w:type="default" r:id="rId10"/>
          <w:type w:val="continuous"/>
          <w:pgSz w:w="11920" w:h="16850"/>
          <w:pgMar w:top="1700" w:right="1220" w:bottom="720" w:left="1200" w:header="278" w:footer="523" w:gutter="0"/>
          <w:cols w:space="720"/>
        </w:sectPr>
      </w:pPr>
    </w:p>
    <w:p w:rsidR="009C3737" w:rsidRDefault="009C3737">
      <w:pPr>
        <w:spacing w:before="15" w:after="48"/>
        <w:ind w:left="240"/>
        <w:rPr>
          <w:b/>
          <w:sz w:val="24"/>
        </w:rPr>
      </w:pPr>
    </w:p>
    <w:p w:rsidR="009C3737" w:rsidRPr="009C3737" w:rsidRDefault="009C3737" w:rsidP="009C3737">
      <w:pPr>
        <w:spacing w:before="15" w:after="48"/>
        <w:rPr>
          <w:b/>
        </w:rPr>
      </w:pPr>
      <w:r>
        <w:rPr>
          <w:b/>
        </w:rPr>
        <w:t xml:space="preserve">   </w:t>
      </w:r>
      <w:r w:rsidRPr="009C3737">
        <w:rPr>
          <w:b/>
        </w:rPr>
        <w:t>Consultation</w:t>
      </w:r>
      <w:r>
        <w:rPr>
          <w:b/>
        </w:rPr>
        <w:t>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DC6B6C">
        <w:trPr>
          <w:trHeight w:val="251"/>
        </w:trPr>
        <w:tc>
          <w:tcPr>
            <w:tcW w:w="5922" w:type="dxa"/>
          </w:tcPr>
          <w:p w:rsidR="00DC6B6C" w:rsidRDefault="009C373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Consultee</w:t>
            </w:r>
          </w:p>
        </w:tc>
        <w:tc>
          <w:tcPr>
            <w:tcW w:w="3322" w:type="dxa"/>
          </w:tcPr>
          <w:p w:rsidR="00DC6B6C" w:rsidRDefault="009C373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C6B6C">
        <w:trPr>
          <w:trHeight w:val="254"/>
        </w:trPr>
        <w:tc>
          <w:tcPr>
            <w:tcW w:w="5922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Planned Care Programme Board</w:t>
            </w:r>
          </w:p>
        </w:tc>
        <w:tc>
          <w:tcPr>
            <w:tcW w:w="3322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March 2015 (virtual)</w:t>
            </w:r>
          </w:p>
        </w:tc>
      </w:tr>
      <w:tr w:rsidR="00DC6B6C">
        <w:trPr>
          <w:trHeight w:val="251"/>
        </w:trPr>
        <w:tc>
          <w:tcPr>
            <w:tcW w:w="5922" w:type="dxa"/>
            <w:shd w:val="clear" w:color="auto" w:fill="C4BA94"/>
          </w:tcPr>
          <w:p w:rsidR="00DC6B6C" w:rsidRDefault="00DC6B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2" w:type="dxa"/>
            <w:shd w:val="clear" w:color="auto" w:fill="C4BA94"/>
          </w:tcPr>
          <w:p w:rsidR="00DC6B6C" w:rsidRDefault="00DC6B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6B6C">
        <w:trPr>
          <w:trHeight w:val="254"/>
        </w:trPr>
        <w:tc>
          <w:tcPr>
            <w:tcW w:w="5922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Has the consultation included patient representatives?</w:t>
            </w:r>
          </w:p>
        </w:tc>
        <w:tc>
          <w:tcPr>
            <w:tcW w:w="3322" w:type="dxa"/>
          </w:tcPr>
          <w:p w:rsidR="00DC6B6C" w:rsidRDefault="009C373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DC6B6C" w:rsidRDefault="00DC6B6C">
      <w:pPr>
        <w:pStyle w:val="BodyText"/>
        <w:spacing w:before="11"/>
        <w:rPr>
          <w:b/>
          <w:sz w:val="26"/>
        </w:rPr>
      </w:pPr>
    </w:p>
    <w:p w:rsidR="009C3737" w:rsidRDefault="009C3737">
      <w:pPr>
        <w:pStyle w:val="BodyText"/>
        <w:spacing w:before="11"/>
        <w:rPr>
          <w:b/>
          <w:sz w:val="26"/>
        </w:rPr>
      </w:pPr>
    </w:p>
    <w:p w:rsidR="00DC6B6C" w:rsidRPr="009C3737" w:rsidRDefault="009C3737">
      <w:pPr>
        <w:spacing w:after="50"/>
        <w:ind w:left="240"/>
        <w:rPr>
          <w:b/>
        </w:rPr>
      </w:pPr>
      <w:r w:rsidRPr="009C3737">
        <w:rPr>
          <w:b/>
        </w:rPr>
        <w:t>Policy sign off</w:t>
      </w:r>
      <w:r>
        <w:rPr>
          <w:b/>
        </w:rPr>
        <w:t>:</w:t>
      </w:r>
      <w:bookmarkStart w:id="0" w:name="_GoBack"/>
      <w:bookmarkEnd w:id="0"/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2"/>
        <w:gridCol w:w="3322"/>
      </w:tblGrid>
      <w:tr w:rsidR="00DC6B6C">
        <w:trPr>
          <w:trHeight w:val="251"/>
        </w:trPr>
        <w:tc>
          <w:tcPr>
            <w:tcW w:w="5922" w:type="dxa"/>
          </w:tcPr>
          <w:p w:rsidR="00DC6B6C" w:rsidRDefault="009C373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Reviewing Body</w:t>
            </w:r>
          </w:p>
        </w:tc>
        <w:tc>
          <w:tcPr>
            <w:tcW w:w="3322" w:type="dxa"/>
          </w:tcPr>
          <w:p w:rsidR="00DC6B6C" w:rsidRDefault="009C373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Date of review</w:t>
            </w:r>
          </w:p>
        </w:tc>
      </w:tr>
      <w:tr w:rsidR="00DC6B6C">
        <w:trPr>
          <w:trHeight w:val="253"/>
        </w:trPr>
        <w:tc>
          <w:tcPr>
            <w:tcW w:w="5922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Effective Clinical Commissioning Policy Group</w:t>
            </w:r>
          </w:p>
        </w:tc>
        <w:tc>
          <w:tcPr>
            <w:tcW w:w="3322" w:type="dxa"/>
          </w:tcPr>
          <w:p w:rsidR="00DC6B6C" w:rsidRDefault="009C3737">
            <w:pPr>
              <w:pStyle w:val="TableParagraph"/>
              <w:spacing w:line="234" w:lineRule="exac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April 2015</w:t>
            </w:r>
          </w:p>
        </w:tc>
      </w:tr>
    </w:tbl>
    <w:p w:rsidR="00DC6B6C" w:rsidRDefault="00DC6B6C">
      <w:pPr>
        <w:pStyle w:val="BodyText"/>
        <w:rPr>
          <w:b/>
          <w:sz w:val="26"/>
        </w:rPr>
      </w:pPr>
    </w:p>
    <w:p w:rsidR="00DC6B6C" w:rsidRDefault="00DC6B6C">
      <w:pPr>
        <w:pStyle w:val="BodyText"/>
        <w:spacing w:before="8"/>
        <w:rPr>
          <w:b/>
          <w:sz w:val="35"/>
        </w:rPr>
      </w:pPr>
    </w:p>
    <w:p w:rsidR="00DC6B6C" w:rsidRDefault="009C3737" w:rsidP="009C3737">
      <w:pPr>
        <w:pStyle w:val="Heading2"/>
        <w:ind w:left="101"/>
        <w:rPr>
          <w:b w:val="0"/>
        </w:rPr>
      </w:pPr>
      <w:r>
        <w:rPr>
          <w:rFonts w:ascii="Arial"/>
        </w:rPr>
        <w:t>Version Control: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2310"/>
        <w:gridCol w:w="1045"/>
        <w:gridCol w:w="4652"/>
      </w:tblGrid>
      <w:tr w:rsidR="00DC6B6C" w:rsidTr="00A01C84">
        <w:trPr>
          <w:trHeight w:val="527"/>
        </w:trPr>
        <w:tc>
          <w:tcPr>
            <w:tcW w:w="1210" w:type="dxa"/>
          </w:tcPr>
          <w:p w:rsidR="00DC6B6C" w:rsidRDefault="009C373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  <w:p w:rsidR="00DC6B6C" w:rsidRDefault="009C373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310" w:type="dxa"/>
          </w:tcPr>
          <w:p w:rsidR="00DC6B6C" w:rsidRDefault="009C3737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 Change</w:t>
            </w:r>
          </w:p>
        </w:tc>
        <w:tc>
          <w:tcPr>
            <w:tcW w:w="1045" w:type="dxa"/>
          </w:tcPr>
          <w:p w:rsidR="00DC6B6C" w:rsidRDefault="009C3737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652" w:type="dxa"/>
          </w:tcPr>
          <w:p w:rsidR="00DC6B6C" w:rsidRDefault="009C3737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Change</w:t>
            </w:r>
          </w:p>
        </w:tc>
      </w:tr>
      <w:tr w:rsidR="00DC6B6C" w:rsidTr="00A01C84">
        <w:trPr>
          <w:trHeight w:val="318"/>
        </w:trPr>
        <w:tc>
          <w:tcPr>
            <w:tcW w:w="1210" w:type="dxa"/>
          </w:tcPr>
          <w:p w:rsidR="00DC6B6C" w:rsidRPr="00A01C84" w:rsidRDefault="009C3737">
            <w:pPr>
              <w:pStyle w:val="TableParagraph"/>
              <w:spacing w:before="24"/>
              <w:ind w:left="464"/>
              <w:rPr>
                <w:sz w:val="20"/>
                <w:szCs w:val="20"/>
              </w:rPr>
            </w:pPr>
            <w:r w:rsidRPr="00A01C8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C6B6C" w:rsidRPr="00A01C84" w:rsidRDefault="00DC6B6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DC6B6C" w:rsidRPr="00A01C84" w:rsidRDefault="00A01C84">
            <w:pPr>
              <w:pStyle w:val="TableParagraph"/>
              <w:spacing w:before="93" w:line="206" w:lineRule="exact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4652" w:type="dxa"/>
          </w:tcPr>
          <w:p w:rsidR="00DC6B6C" w:rsidRPr="00A01C84" w:rsidRDefault="00DC6B6C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C6B6C" w:rsidTr="00A01C84">
        <w:trPr>
          <w:trHeight w:val="316"/>
        </w:trPr>
        <w:tc>
          <w:tcPr>
            <w:tcW w:w="1210" w:type="dxa"/>
          </w:tcPr>
          <w:p w:rsidR="00DC6B6C" w:rsidRPr="00A01C84" w:rsidRDefault="009C3737">
            <w:pPr>
              <w:pStyle w:val="TableParagraph"/>
              <w:spacing w:before="60"/>
              <w:ind w:left="466"/>
              <w:rPr>
                <w:sz w:val="20"/>
                <w:szCs w:val="20"/>
              </w:rPr>
            </w:pPr>
            <w:r w:rsidRPr="00A01C8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C6B6C" w:rsidRPr="00A01C84" w:rsidRDefault="00A01C84" w:rsidP="00A01C84">
            <w:pPr>
              <w:pStyle w:val="TableParagraph"/>
              <w:spacing w:before="5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</w:t>
            </w:r>
            <w:r w:rsidR="009C3737" w:rsidRPr="00A01C84">
              <w:rPr>
                <w:sz w:val="20"/>
                <w:szCs w:val="20"/>
              </w:rPr>
              <w:t>ate</w:t>
            </w:r>
          </w:p>
        </w:tc>
        <w:tc>
          <w:tcPr>
            <w:tcW w:w="1045" w:type="dxa"/>
          </w:tcPr>
          <w:p w:rsidR="00DC6B6C" w:rsidRPr="00A01C84" w:rsidRDefault="00A01C84">
            <w:pPr>
              <w:pStyle w:val="TableParagraph"/>
              <w:spacing w:before="44"/>
              <w:ind w:left="22" w:right="-1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22.03.20</w:t>
            </w:r>
            <w:r w:rsidR="009C3737" w:rsidRPr="00A01C84">
              <w:rPr>
                <w:spacing w:val="-1"/>
                <w:sz w:val="20"/>
                <w:szCs w:val="20"/>
              </w:rPr>
              <w:t>18</w:t>
            </w:r>
          </w:p>
        </w:tc>
        <w:tc>
          <w:tcPr>
            <w:tcW w:w="4652" w:type="dxa"/>
          </w:tcPr>
          <w:p w:rsidR="00DC6B6C" w:rsidRPr="00A01C84" w:rsidRDefault="00A01C84" w:rsidP="00A01C84">
            <w:pPr>
              <w:pStyle w:val="TableParagraph"/>
              <w:spacing w:before="4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Review date changed to March 2021</w:t>
            </w:r>
          </w:p>
        </w:tc>
      </w:tr>
      <w:tr w:rsidR="00DC6B6C" w:rsidTr="00A01C84">
        <w:trPr>
          <w:trHeight w:val="318"/>
        </w:trPr>
        <w:tc>
          <w:tcPr>
            <w:tcW w:w="1210" w:type="dxa"/>
          </w:tcPr>
          <w:p w:rsidR="00DC6B6C" w:rsidRPr="00A01C84" w:rsidRDefault="009C3737">
            <w:pPr>
              <w:pStyle w:val="TableParagraph"/>
              <w:spacing w:before="30"/>
              <w:ind w:left="467"/>
              <w:rPr>
                <w:sz w:val="20"/>
                <w:szCs w:val="20"/>
              </w:rPr>
            </w:pPr>
            <w:r w:rsidRPr="00A01C8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DC6B6C" w:rsidRPr="00A01C84" w:rsidRDefault="009C3737">
            <w:pPr>
              <w:pStyle w:val="TableParagraph"/>
              <w:spacing w:before="15"/>
              <w:ind w:left="108"/>
              <w:rPr>
                <w:sz w:val="20"/>
                <w:szCs w:val="20"/>
              </w:rPr>
            </w:pPr>
            <w:r w:rsidRPr="00A01C84">
              <w:rPr>
                <w:sz w:val="20"/>
                <w:szCs w:val="20"/>
              </w:rPr>
              <w:t>Review date</w:t>
            </w:r>
          </w:p>
        </w:tc>
        <w:tc>
          <w:tcPr>
            <w:tcW w:w="1045" w:type="dxa"/>
          </w:tcPr>
          <w:p w:rsidR="00DC6B6C" w:rsidRPr="00A01C84" w:rsidRDefault="009C3737" w:rsidP="00A01C84">
            <w:pPr>
              <w:pStyle w:val="TableParagraph"/>
              <w:spacing w:before="38"/>
              <w:ind w:left="0"/>
              <w:rPr>
                <w:sz w:val="20"/>
                <w:szCs w:val="20"/>
              </w:rPr>
            </w:pPr>
            <w:r w:rsidRPr="00A01C84">
              <w:rPr>
                <w:sz w:val="20"/>
                <w:szCs w:val="20"/>
              </w:rPr>
              <w:t>10.</w:t>
            </w:r>
            <w:r w:rsidR="00A01C84">
              <w:rPr>
                <w:sz w:val="20"/>
                <w:szCs w:val="20"/>
              </w:rPr>
              <w:t>0</w:t>
            </w:r>
            <w:r w:rsidRPr="00A01C84">
              <w:rPr>
                <w:sz w:val="20"/>
                <w:szCs w:val="20"/>
              </w:rPr>
              <w:t>6.</w:t>
            </w:r>
            <w:r w:rsidR="00A01C84">
              <w:rPr>
                <w:sz w:val="20"/>
                <w:szCs w:val="20"/>
              </w:rPr>
              <w:t>20</w:t>
            </w:r>
            <w:r w:rsidRPr="00A01C84">
              <w:rPr>
                <w:sz w:val="20"/>
                <w:szCs w:val="20"/>
              </w:rPr>
              <w:t>21</w:t>
            </w:r>
          </w:p>
        </w:tc>
        <w:tc>
          <w:tcPr>
            <w:tcW w:w="4652" w:type="dxa"/>
          </w:tcPr>
          <w:p w:rsidR="00DC6B6C" w:rsidRPr="00A01C84" w:rsidRDefault="00A01C84" w:rsidP="00A01C84">
            <w:pPr>
              <w:pStyle w:val="TableParagraph"/>
              <w:spacing w:line="203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Review date changed to June 2024</w:t>
            </w:r>
          </w:p>
        </w:tc>
      </w:tr>
    </w:tbl>
    <w:p w:rsidR="00000000" w:rsidRDefault="009C3737"/>
    <w:sectPr w:rsidR="00000000">
      <w:pgSz w:w="11920" w:h="16850"/>
      <w:pgMar w:top="1700" w:right="1220" w:bottom="720" w:left="1200" w:header="278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3737">
      <w:r>
        <w:separator/>
      </w:r>
    </w:p>
  </w:endnote>
  <w:endnote w:type="continuationSeparator" w:id="0">
    <w:p w:rsidR="00000000" w:rsidRDefault="009C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C" w:rsidRDefault="00A01C8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2416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10222230</wp:posOffset>
              </wp:positionV>
              <wp:extent cx="14986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B6C" w:rsidRDefault="009C373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8pt;margin-top:804.9pt;width:11.8pt;height:10.9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tOrQ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" filled="f" stroked="f">
              <v:textbox inset="0,0,0,0">
                <w:txbxContent>
                  <w:p w:rsidR="00DC6B6C" w:rsidRDefault="009C373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3737">
      <w:r>
        <w:separator/>
      </w:r>
    </w:p>
  </w:footnote>
  <w:footnote w:type="continuationSeparator" w:id="0">
    <w:p w:rsidR="00000000" w:rsidRDefault="009C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6C" w:rsidRDefault="00A01C8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0368" behindDoc="1" locked="0" layoutInCell="1" allowOverlap="1">
              <wp:simplePos x="0" y="0"/>
              <wp:positionH relativeFrom="page">
                <wp:posOffset>276225</wp:posOffset>
              </wp:positionH>
              <wp:positionV relativeFrom="page">
                <wp:posOffset>181610</wp:posOffset>
              </wp:positionV>
              <wp:extent cx="2638425" cy="90487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38425" cy="9048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1.75pt;margin-top:14.3pt;width:207.75pt;height:71.2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" fill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139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252730</wp:posOffset>
              </wp:positionV>
              <wp:extent cx="1930400" cy="7435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B6C" w:rsidRDefault="009C373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Policy Category:</w:t>
                          </w:r>
                        </w:p>
                        <w:p w:rsidR="00DC6B6C" w:rsidRDefault="009C3737">
                          <w:pPr>
                            <w:spacing w:before="26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INNF</w:t>
                          </w:r>
                        </w:p>
                        <w:p w:rsidR="00DC6B6C" w:rsidRDefault="009C3737">
                          <w:pPr>
                            <w:spacing w:before="39" w:line="273" w:lineRule="auto"/>
                            <w:ind w:left="20" w:right="1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Who usually applies for funding?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Consultant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.3pt;margin-top:19.9pt;width:152pt;height:58.55pt;z-index:-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Cm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" filled="f" stroked="f">
              <v:textbox inset="0,0,0,0">
                <w:txbxContent>
                  <w:p w:rsidR="00DC6B6C" w:rsidRDefault="009C3737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Policy Category:</w:t>
                    </w:r>
                  </w:p>
                  <w:p w:rsidR="00DC6B6C" w:rsidRDefault="009C3737">
                    <w:pPr>
                      <w:spacing w:before="26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FF0000"/>
                      </w:rPr>
                      <w:t>INNF</w:t>
                    </w:r>
                  </w:p>
                  <w:p w:rsidR="00DC6B6C" w:rsidRDefault="009C3737">
                    <w:pPr>
                      <w:spacing w:before="39" w:line="273" w:lineRule="auto"/>
                      <w:ind w:left="20" w:right="1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Who usually applies for funding? </w:t>
                    </w:r>
                    <w:r>
                      <w:rPr>
                        <w:rFonts w:ascii="Calibri"/>
                        <w:b/>
                        <w:color w:val="FF0000"/>
                      </w:rPr>
                      <w:t>Consultant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C"/>
    <w:rsid w:val="009C3737"/>
    <w:rsid w:val="00A01C84"/>
    <w:rsid w:val="00D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CCG.IFR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dcterms:created xsi:type="dcterms:W3CDTF">2021-06-24T11:49:00Z</dcterms:created>
  <dcterms:modified xsi:type="dcterms:W3CDTF">2021-06-24T11:49:00Z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2021-06-24T00:00:00Z</vt:filetime>
  </property>
</Properties>
</file>