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A0C9" w14:textId="77777777" w:rsidR="00FE14BD" w:rsidRDefault="00743187">
      <w:pPr>
        <w:tabs>
          <w:tab w:val="left" w:pos="7163"/>
        </w:tabs>
        <w:ind w:left="135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pict w14:anchorId="0575887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207.75pt;height:71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09FDAAF9" w14:textId="77777777" w:rsidR="00FE14BD" w:rsidRDefault="00743187">
                  <w:pPr>
                    <w:spacing w:before="67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Policy Category:</w:t>
                  </w:r>
                </w:p>
                <w:p w14:paraId="6394D704" w14:textId="77777777" w:rsidR="00FE14BD" w:rsidRDefault="00743187">
                  <w:pPr>
                    <w:spacing w:before="39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0000"/>
                    </w:rPr>
                    <w:t>INNF</w:t>
                  </w:r>
                </w:p>
                <w:p w14:paraId="60099602" w14:textId="77777777" w:rsidR="00FE14BD" w:rsidRDefault="00743187">
                  <w:pPr>
                    <w:spacing w:before="41" w:line="276" w:lineRule="auto"/>
                    <w:ind w:left="144" w:right="977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 xml:space="preserve">Who usually applies for funding? </w:t>
                  </w:r>
                  <w:r>
                    <w:rPr>
                      <w:rFonts w:ascii="Calibri"/>
                      <w:b/>
                      <w:color w:val="FF0000"/>
                    </w:rPr>
                    <w:t>GP/Consultant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9000775" wp14:editId="612AD404">
            <wp:extent cx="2585278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27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A024F" w14:textId="77777777" w:rsidR="00FE14BD" w:rsidRDefault="00FE14BD">
      <w:pPr>
        <w:pStyle w:val="BodyText"/>
        <w:spacing w:before="10"/>
        <w:rPr>
          <w:rFonts w:ascii="Times New Roman"/>
          <w:sz w:val="26"/>
        </w:rPr>
      </w:pPr>
    </w:p>
    <w:p w14:paraId="4EA74885" w14:textId="77777777" w:rsidR="00FE14BD" w:rsidRDefault="00743187">
      <w:pPr>
        <w:pStyle w:val="Heading1"/>
        <w:spacing w:before="92" w:line="278" w:lineRule="auto"/>
        <w:ind w:left="4032" w:right="1383" w:hanging="2691"/>
      </w:pPr>
      <w:r>
        <w:t>Intravitreal anti-VEGF in diabetic macular oedema, pre vitrectomy and other diabetes related eye disease</w:t>
      </w:r>
    </w:p>
    <w:p w14:paraId="0295FC86" w14:textId="77777777" w:rsidR="00FE14BD" w:rsidRDefault="00FE14BD">
      <w:pPr>
        <w:pStyle w:val="BodyText"/>
        <w:spacing w:before="6" w:after="1"/>
        <w:rPr>
          <w:b/>
          <w:sz w:val="27"/>
        </w:rPr>
      </w:pPr>
    </w:p>
    <w:tbl>
      <w:tblPr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1"/>
      </w:tblGrid>
      <w:tr w:rsidR="00FE14BD" w14:paraId="327ABF89" w14:textId="77777777">
        <w:trPr>
          <w:trHeight w:val="1264"/>
        </w:trPr>
        <w:tc>
          <w:tcPr>
            <w:tcW w:w="2093" w:type="dxa"/>
            <w:shd w:val="clear" w:color="auto" w:fill="D9D9D9"/>
          </w:tcPr>
          <w:p w14:paraId="4F054ADD" w14:textId="77777777" w:rsidR="00FE14BD" w:rsidRDefault="00743187">
            <w:pPr>
              <w:pStyle w:val="TableParagraph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Commissioning decision</w:t>
            </w:r>
          </w:p>
        </w:tc>
        <w:tc>
          <w:tcPr>
            <w:tcW w:w="7151" w:type="dxa"/>
          </w:tcPr>
          <w:p w14:paraId="1915E43F" w14:textId="77777777" w:rsidR="00FE14BD" w:rsidRDefault="00743187">
            <w:pPr>
              <w:pStyle w:val="TableParagraph"/>
              <w:ind w:right="179"/>
              <w:rPr>
                <w:b/>
              </w:rPr>
            </w:pPr>
            <w:r>
              <w:rPr>
                <w:b/>
              </w:rPr>
              <w:t>Intravitreal anti-VEGF in diabetic macular oedema, pre vitrectomy and other diabetes rel</w:t>
            </w:r>
            <w:r>
              <w:rPr>
                <w:b/>
              </w:rPr>
              <w:t>ated eye disease is considered a low priority for funding and will only be considered in exceptional</w:t>
            </w:r>
          </w:p>
          <w:p w14:paraId="77E1F4D6" w14:textId="77777777" w:rsidR="00FE14BD" w:rsidRDefault="00743187">
            <w:pPr>
              <w:pStyle w:val="TableParagraph"/>
              <w:spacing w:before="1" w:line="252" w:lineRule="exact"/>
              <w:ind w:right="315"/>
              <w:rPr>
                <w:b/>
              </w:rPr>
            </w:pPr>
            <w:r>
              <w:rPr>
                <w:b/>
              </w:rPr>
              <w:t>circumstances. Funding approval must be sought from the CCG via the Individual Funding Request process prior to treatment.</w:t>
            </w:r>
          </w:p>
        </w:tc>
      </w:tr>
    </w:tbl>
    <w:p w14:paraId="2A12C61C" w14:textId="77777777" w:rsidR="00FE14BD" w:rsidRDefault="00FE14BD">
      <w:pPr>
        <w:pStyle w:val="BodyText"/>
        <w:spacing w:before="11"/>
        <w:rPr>
          <w:b/>
          <w:sz w:val="26"/>
        </w:rPr>
      </w:pPr>
    </w:p>
    <w:p w14:paraId="2D46E3C2" w14:textId="77777777" w:rsidR="00FE14BD" w:rsidRDefault="00743187">
      <w:pPr>
        <w:ind w:left="1140"/>
        <w:rPr>
          <w:b/>
          <w:sz w:val="24"/>
        </w:rPr>
      </w:pPr>
      <w:r>
        <w:pict w14:anchorId="4314865A">
          <v:shape id="_x0000_s1029" type="#_x0000_t202" style="position:absolute;left:0;text-align:left;margin-left:66.6pt;margin-top:16.55pt;width:462.2pt;height:38.45pt;z-index:-251657216;mso-wrap-distance-left:0;mso-wrap-distance-right:0;mso-position-horizontal-relative:page" filled="f" strokeweight=".48pt">
            <v:textbox inset="0,0,0,0">
              <w:txbxContent>
                <w:p w14:paraId="4AAC3F80" w14:textId="77777777" w:rsidR="00FE14BD" w:rsidRDefault="00743187">
                  <w:pPr>
                    <w:pStyle w:val="BodyText"/>
                    <w:spacing w:line="242" w:lineRule="auto"/>
                    <w:ind w:left="103" w:right="649"/>
                  </w:pPr>
                  <w:r>
                    <w:t>The use of Intravitreal anti-VEGF in diabetic macular oedema, pre vitrectomy and other diabetes related eye disease is not normally funded.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t>Policy Statement:</w:t>
      </w:r>
    </w:p>
    <w:p w14:paraId="139C5D2D" w14:textId="77777777" w:rsidR="00FE14BD" w:rsidRDefault="00FE14BD">
      <w:pPr>
        <w:pStyle w:val="BodyText"/>
        <w:spacing w:before="10"/>
        <w:rPr>
          <w:b/>
        </w:rPr>
      </w:pPr>
    </w:p>
    <w:p w14:paraId="70AF36B3" w14:textId="77777777" w:rsidR="00FE14BD" w:rsidRDefault="00743187">
      <w:pPr>
        <w:spacing w:before="1"/>
        <w:ind w:left="1140"/>
        <w:rPr>
          <w:b/>
          <w:sz w:val="24"/>
        </w:rPr>
      </w:pPr>
      <w:r>
        <w:pict w14:anchorId="05730FED">
          <v:shape id="_x0000_s1028" type="#_x0000_t202" style="position:absolute;left:0;text-align:left;margin-left:66.6pt;margin-top:16.45pt;width:462.2pt;height:52.2pt;z-index:-251656192;mso-wrap-distance-left:0;mso-wrap-distance-right:0;mso-position-horizontal-relative:page" filled="f" strokeweight=".48pt">
            <v:textbox inset="0,0,0,0">
              <w:txbxContent>
                <w:p w14:paraId="01F84DF0" w14:textId="77777777" w:rsidR="00FE14BD" w:rsidRDefault="00743187">
                  <w:pPr>
                    <w:pStyle w:val="BodyText"/>
                    <w:ind w:left="103" w:right="465"/>
                  </w:pPr>
                  <w:r>
                    <w:t>The use of Intravitreal anti-VEGF in diabetic macular oedema, pre vitrectomy and other diabete</w:t>
                  </w:r>
                  <w:r>
                    <w:t>s related eye disease is considered a low priority. Funding will be considered only where the patient meets NICE TA274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t>Rationale:</w:t>
      </w:r>
    </w:p>
    <w:p w14:paraId="0CD26971" w14:textId="77777777" w:rsidR="00FE14BD" w:rsidRDefault="00FE14BD">
      <w:pPr>
        <w:pStyle w:val="BodyText"/>
        <w:spacing w:before="4"/>
        <w:rPr>
          <w:b/>
        </w:rPr>
      </w:pPr>
    </w:p>
    <w:p w14:paraId="7F23C3A0" w14:textId="77777777" w:rsidR="00FE14BD" w:rsidRDefault="00743187">
      <w:pPr>
        <w:ind w:left="1140"/>
        <w:rPr>
          <w:b/>
          <w:sz w:val="24"/>
        </w:rPr>
      </w:pPr>
      <w:r>
        <w:pict w14:anchorId="2A36B9C9">
          <v:shape id="_x0000_s1027" type="#_x0000_t202" style="position:absolute;left:0;text-align:left;margin-left:66.6pt;margin-top:16.4pt;width:462.2pt;height:140.8pt;z-index:-251655168;mso-wrap-distance-left:0;mso-wrap-distance-right:0;mso-position-horizontal-relative:page" filled="f" strokeweight=".48pt">
            <v:textbox inset="0,0,0,0">
              <w:txbxContent>
                <w:p w14:paraId="06AF2D7C" w14:textId="77777777" w:rsidR="00FE14BD" w:rsidRDefault="00743187">
                  <w:pPr>
                    <w:pStyle w:val="BodyText"/>
                    <w:ind w:left="103" w:right="99"/>
                  </w:pPr>
                  <w:r>
                    <w:t xml:space="preserve">Ranibizumab (Lucentis, Novartis) belongs to a class of drugs that blocks the action of vascular endothelial growth factor A (VEGF-A). In diabetic macular oedema, VEGF-A causes blood vessels to leak in the macula, the area of the retina responsible for the </w:t>
                  </w:r>
                  <w:r>
                    <w:t>clearest vision. The accumulated fluid causes swelling, or oedema, which impairs vision. By inhibiting the action of VEGF-A, ranibizumab reduces oedema and limits visual loss or improves vision.</w:t>
                  </w:r>
                </w:p>
                <w:p w14:paraId="0970A8A5" w14:textId="77777777" w:rsidR="00FE14BD" w:rsidRDefault="00FE14BD">
                  <w:pPr>
                    <w:pStyle w:val="BodyText"/>
                    <w:spacing w:before="1"/>
                  </w:pPr>
                </w:p>
                <w:p w14:paraId="42027711" w14:textId="77777777" w:rsidR="00FE14BD" w:rsidRDefault="00743187">
                  <w:pPr>
                    <w:pStyle w:val="BodyText"/>
                    <w:ind w:left="103" w:right="180"/>
                    <w:jc w:val="both"/>
                  </w:pPr>
                  <w:r>
                    <w:t>The National Institute for Health and Clinical Excellence ha</w:t>
                  </w:r>
                  <w:r>
                    <w:t>ve recommended the use of anti- VEGF drugs for diabetic macular oedema in limited circumstances. The CCG does not fund treatment outside of the NICE recommendations.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t>Plain English Summary:</w:t>
      </w:r>
    </w:p>
    <w:p w14:paraId="1A14DE71" w14:textId="77777777" w:rsidR="00FE14BD" w:rsidRDefault="00FE14BD">
      <w:pPr>
        <w:pStyle w:val="BodyText"/>
        <w:spacing w:before="6"/>
        <w:rPr>
          <w:b/>
          <w:sz w:val="23"/>
        </w:rPr>
      </w:pPr>
    </w:p>
    <w:p w14:paraId="2DA65EB5" w14:textId="77777777" w:rsidR="00FE14BD" w:rsidRDefault="00743187">
      <w:pPr>
        <w:spacing w:before="1"/>
        <w:ind w:left="1140"/>
        <w:rPr>
          <w:b/>
          <w:sz w:val="24"/>
        </w:rPr>
      </w:pPr>
      <w:r>
        <w:pict w14:anchorId="108220D3">
          <v:shape id="_x0000_s1026" type="#_x0000_t202" style="position:absolute;left:0;text-align:left;margin-left:66.6pt;margin-top:16.4pt;width:462.2pt;height:31.8pt;z-index:-251654144;mso-wrap-distance-left:0;mso-wrap-distance-right:0;mso-position-horizontal-relative:page" filled="f" strokeweight=".48pt">
            <v:textbox inset="0,0,0,0">
              <w:txbxContent>
                <w:p w14:paraId="2654D67B" w14:textId="77777777" w:rsidR="00FE14BD" w:rsidRDefault="00743187">
                  <w:pPr>
                    <w:pStyle w:val="BodyText"/>
                    <w:spacing w:before="59"/>
                    <w:ind w:left="103"/>
                  </w:pPr>
                  <w:r>
                    <w:t>NICE TA274: Ranibizumab for treating diabetic macular oedema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t>Ev</w:t>
      </w:r>
      <w:r>
        <w:rPr>
          <w:b/>
          <w:sz w:val="24"/>
        </w:rPr>
        <w:t>idence base:</w:t>
      </w:r>
    </w:p>
    <w:p w14:paraId="628C0E6F" w14:textId="77777777" w:rsidR="00FE14BD" w:rsidRDefault="00FE14BD">
      <w:pPr>
        <w:pStyle w:val="BodyText"/>
        <w:spacing w:before="8"/>
        <w:rPr>
          <w:b/>
        </w:rPr>
      </w:pPr>
    </w:p>
    <w:p w14:paraId="32129982" w14:textId="77777777" w:rsidR="00FE14BD" w:rsidRDefault="00743187">
      <w:pPr>
        <w:spacing w:line="276" w:lineRule="auto"/>
        <w:ind w:left="1140" w:right="2795"/>
        <w:rPr>
          <w:sz w:val="24"/>
        </w:rPr>
      </w:pPr>
      <w:r>
        <w:rPr>
          <w:sz w:val="24"/>
        </w:rPr>
        <w:t xml:space="preserve">Link to application form – Individual Funding Request application form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further information please contact </w:t>
      </w:r>
      <w:hyperlink r:id="rId7">
        <w:r>
          <w:rPr>
            <w:color w:val="0000FF"/>
            <w:sz w:val="24"/>
            <w:u w:val="single" w:color="0000FF"/>
          </w:rPr>
          <w:t>GLCCG.IFR@nhs.net</w:t>
        </w:r>
      </w:hyperlink>
    </w:p>
    <w:p w14:paraId="0E97DA42" w14:textId="77777777" w:rsidR="00FE14BD" w:rsidRDefault="00FE14BD">
      <w:pPr>
        <w:pStyle w:val="BodyText"/>
        <w:spacing w:before="3"/>
        <w:rPr>
          <w:sz w:val="28"/>
        </w:rPr>
      </w:pPr>
    </w:p>
    <w:tbl>
      <w:tblPr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726"/>
      </w:tblGrid>
      <w:tr w:rsidR="00FE14BD" w14:paraId="4E1EFB4C" w14:textId="77777777">
        <w:trPr>
          <w:trHeight w:val="251"/>
        </w:trPr>
        <w:tc>
          <w:tcPr>
            <w:tcW w:w="2518" w:type="dxa"/>
          </w:tcPr>
          <w:p w14:paraId="729CDB22" w14:textId="77777777" w:rsidR="00FE14BD" w:rsidRDefault="0074318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Date of publication</w:t>
            </w:r>
          </w:p>
        </w:tc>
        <w:tc>
          <w:tcPr>
            <w:tcW w:w="6726" w:type="dxa"/>
          </w:tcPr>
          <w:p w14:paraId="068F9A4C" w14:textId="77777777" w:rsidR="00FE14BD" w:rsidRDefault="00743187">
            <w:pPr>
              <w:pStyle w:val="TableParagraph"/>
              <w:spacing w:line="232" w:lineRule="exac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October 2015</w:t>
            </w:r>
          </w:p>
        </w:tc>
      </w:tr>
      <w:tr w:rsidR="00FE14BD" w14:paraId="4229F3B9" w14:textId="77777777">
        <w:trPr>
          <w:trHeight w:val="254"/>
        </w:trPr>
        <w:tc>
          <w:tcPr>
            <w:tcW w:w="2518" w:type="dxa"/>
          </w:tcPr>
          <w:p w14:paraId="159B7A77" w14:textId="77777777" w:rsidR="00FE14BD" w:rsidRDefault="0074318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Policy review date</w:t>
            </w:r>
          </w:p>
        </w:tc>
        <w:tc>
          <w:tcPr>
            <w:tcW w:w="6726" w:type="dxa"/>
          </w:tcPr>
          <w:p w14:paraId="08B5D145" w14:textId="77777777" w:rsidR="00FE14BD" w:rsidRDefault="00743187">
            <w:pPr>
              <w:pStyle w:val="TableParagraph"/>
              <w:spacing w:line="234" w:lineRule="exact"/>
            </w:pPr>
            <w:r>
              <w:t>June 2024</w:t>
            </w:r>
          </w:p>
        </w:tc>
      </w:tr>
    </w:tbl>
    <w:p w14:paraId="5E77C7C3" w14:textId="77777777" w:rsidR="00FE14BD" w:rsidRDefault="00FE14BD">
      <w:pPr>
        <w:pStyle w:val="BodyText"/>
        <w:spacing w:before="11"/>
        <w:rPr>
          <w:sz w:val="26"/>
        </w:rPr>
      </w:pPr>
    </w:p>
    <w:p w14:paraId="34376F96" w14:textId="77777777" w:rsidR="00FE14BD" w:rsidRDefault="00743187">
      <w:pPr>
        <w:pStyle w:val="Heading1"/>
        <w:spacing w:after="48"/>
      </w:pPr>
      <w:r>
        <w:t>Consultation</w:t>
      </w:r>
    </w:p>
    <w:tbl>
      <w:tblPr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322"/>
      </w:tblGrid>
      <w:tr w:rsidR="00FE14BD" w14:paraId="0F1AE077" w14:textId="77777777">
        <w:trPr>
          <w:trHeight w:val="253"/>
        </w:trPr>
        <w:tc>
          <w:tcPr>
            <w:tcW w:w="5922" w:type="dxa"/>
          </w:tcPr>
          <w:p w14:paraId="4DC0AEF9" w14:textId="77777777" w:rsidR="00FE14BD" w:rsidRDefault="0074318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Consultee</w:t>
            </w:r>
          </w:p>
        </w:tc>
        <w:tc>
          <w:tcPr>
            <w:tcW w:w="3322" w:type="dxa"/>
          </w:tcPr>
          <w:p w14:paraId="74056C5B" w14:textId="77777777" w:rsidR="00FE14BD" w:rsidRDefault="0074318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E14BD" w14:paraId="6B645D0B" w14:textId="77777777">
        <w:trPr>
          <w:trHeight w:val="253"/>
        </w:trPr>
        <w:tc>
          <w:tcPr>
            <w:tcW w:w="5922" w:type="dxa"/>
          </w:tcPr>
          <w:p w14:paraId="1521DD05" w14:textId="77777777" w:rsidR="00FE14BD" w:rsidRDefault="00743187">
            <w:pPr>
              <w:pStyle w:val="TableParagraph"/>
              <w:spacing w:line="234" w:lineRule="exact"/>
            </w:pPr>
            <w:r>
              <w:t>Clinical Programme Group</w:t>
            </w:r>
          </w:p>
        </w:tc>
        <w:tc>
          <w:tcPr>
            <w:tcW w:w="3322" w:type="dxa"/>
          </w:tcPr>
          <w:p w14:paraId="4F28CD9A" w14:textId="77777777" w:rsidR="00FE14BD" w:rsidRDefault="00743187">
            <w:pPr>
              <w:pStyle w:val="TableParagraph"/>
              <w:spacing w:line="234" w:lineRule="exact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June 2015</w:t>
            </w:r>
          </w:p>
        </w:tc>
      </w:tr>
    </w:tbl>
    <w:p w14:paraId="04524F82" w14:textId="77777777" w:rsidR="00FE14BD" w:rsidRDefault="00FE14BD">
      <w:pPr>
        <w:spacing w:line="234" w:lineRule="exact"/>
        <w:sectPr w:rsidR="00FE14BD">
          <w:footerReference w:type="default" r:id="rId8"/>
          <w:type w:val="continuous"/>
          <w:pgSz w:w="11920" w:h="16850"/>
          <w:pgMar w:top="280" w:right="260" w:bottom="1180" w:left="300" w:header="720" w:footer="991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3260"/>
        <w:gridCol w:w="2665"/>
        <w:gridCol w:w="3325"/>
      </w:tblGrid>
      <w:tr w:rsidR="00FE14BD" w14:paraId="4E07CDCB" w14:textId="77777777">
        <w:trPr>
          <w:trHeight w:val="1410"/>
        </w:trPr>
        <w:tc>
          <w:tcPr>
            <w:tcW w:w="4161" w:type="dxa"/>
            <w:gridSpan w:val="2"/>
            <w:tcBorders>
              <w:bottom w:val="nil"/>
            </w:tcBorders>
          </w:tcPr>
          <w:p w14:paraId="64C0DFE7" w14:textId="77777777" w:rsidR="00FE14BD" w:rsidRDefault="00743187">
            <w:pPr>
              <w:pStyle w:val="TableParagraph"/>
              <w:spacing w:before="68"/>
              <w:ind w:left="15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Policy Category:</w:t>
            </w:r>
          </w:p>
          <w:p w14:paraId="565A8B2A" w14:textId="77777777" w:rsidR="00FE14BD" w:rsidRDefault="00743187">
            <w:pPr>
              <w:pStyle w:val="TableParagraph"/>
              <w:spacing w:before="39"/>
              <w:ind w:left="15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0000"/>
              </w:rPr>
              <w:t>INNF</w:t>
            </w:r>
          </w:p>
          <w:p w14:paraId="6A99B9D3" w14:textId="77777777" w:rsidR="00FE14BD" w:rsidRDefault="00743187">
            <w:pPr>
              <w:pStyle w:val="TableParagraph"/>
              <w:spacing w:before="39" w:line="276" w:lineRule="auto"/>
              <w:ind w:left="153" w:right="97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Who usually applies for funding? </w:t>
            </w:r>
            <w:r>
              <w:rPr>
                <w:rFonts w:ascii="Calibri"/>
                <w:b/>
                <w:color w:val="FF0000"/>
              </w:rPr>
              <w:t>GP/Consultant</w:t>
            </w:r>
          </w:p>
        </w:tc>
        <w:tc>
          <w:tcPr>
            <w:tcW w:w="5990" w:type="dxa"/>
            <w:gridSpan w:val="2"/>
            <w:tcBorders>
              <w:top w:val="nil"/>
              <w:bottom w:val="nil"/>
              <w:right w:val="nil"/>
            </w:tcBorders>
          </w:tcPr>
          <w:p w14:paraId="267ABF40" w14:textId="77777777" w:rsidR="00FE14BD" w:rsidRDefault="00FE14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E14BD" w14:paraId="629D4F1D" w14:textId="77777777">
        <w:trPr>
          <w:trHeight w:val="50"/>
        </w:trPr>
        <w:tc>
          <w:tcPr>
            <w:tcW w:w="10151" w:type="dxa"/>
            <w:gridSpan w:val="4"/>
            <w:tcBorders>
              <w:top w:val="nil"/>
              <w:left w:val="nil"/>
              <w:right w:val="nil"/>
            </w:tcBorders>
          </w:tcPr>
          <w:p w14:paraId="1C6ED2E5" w14:textId="77777777" w:rsidR="00FE14BD" w:rsidRDefault="00FE14BD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FE14BD" w14:paraId="480D6184" w14:textId="77777777">
        <w:trPr>
          <w:trHeight w:val="249"/>
        </w:trPr>
        <w:tc>
          <w:tcPr>
            <w:tcW w:w="901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14:paraId="47F10704" w14:textId="77777777" w:rsidR="00FE14BD" w:rsidRDefault="00FE14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9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0B7C" w14:textId="77777777" w:rsidR="00FE14BD" w:rsidRDefault="00743187">
            <w:pPr>
              <w:pStyle w:val="TableParagraph"/>
              <w:spacing w:line="229" w:lineRule="exact"/>
              <w:ind w:left="109"/>
            </w:pPr>
            <w:r>
              <w:t>GHNHSFT (via CPG)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3E29" w14:textId="77777777" w:rsidR="00FE14BD" w:rsidRDefault="00743187">
            <w:pPr>
              <w:pStyle w:val="TableParagraph"/>
              <w:spacing w:line="229" w:lineRule="exact"/>
              <w:ind w:left="109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June 2015</w:t>
            </w:r>
          </w:p>
        </w:tc>
      </w:tr>
      <w:tr w:rsidR="00FE14BD" w14:paraId="4DF9E8C1" w14:textId="77777777">
        <w:trPr>
          <w:trHeight w:val="254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62EEC0" w14:textId="77777777" w:rsidR="00FE14BD" w:rsidRDefault="00FE14BD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27E0" w14:textId="77777777" w:rsidR="00FE14BD" w:rsidRDefault="00743187">
            <w:pPr>
              <w:pStyle w:val="TableParagraph"/>
              <w:spacing w:line="234" w:lineRule="exact"/>
              <w:ind w:left="109"/>
            </w:pPr>
            <w:r>
              <w:t>GP Membership (via CCG Live/What’s New This Week)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3F8" w14:textId="77777777" w:rsidR="00FE14BD" w:rsidRDefault="00743187">
            <w:pPr>
              <w:pStyle w:val="TableParagraph"/>
              <w:spacing w:line="234" w:lineRule="exact"/>
              <w:ind w:left="109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July – 7</w:t>
            </w:r>
            <w:r>
              <w:rPr>
                <w:vertAlign w:val="superscript"/>
              </w:rPr>
              <w:t>th</w:t>
            </w:r>
            <w:r>
              <w:t xml:space="preserve"> August 2015</w:t>
            </w:r>
          </w:p>
        </w:tc>
      </w:tr>
      <w:tr w:rsidR="00FE14BD" w14:paraId="58A449F5" w14:textId="77777777">
        <w:trPr>
          <w:trHeight w:val="254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63111A" w14:textId="77777777" w:rsidR="00FE14BD" w:rsidRDefault="00FE14BD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A94"/>
          </w:tcPr>
          <w:p w14:paraId="7E93D5E1" w14:textId="77777777" w:rsidR="00FE14BD" w:rsidRDefault="00FE14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A94"/>
          </w:tcPr>
          <w:p w14:paraId="088104DD" w14:textId="77777777" w:rsidR="00FE14BD" w:rsidRDefault="00FE14B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E14BD" w14:paraId="6B91D48F" w14:textId="77777777">
        <w:trPr>
          <w:trHeight w:val="505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B61445" w14:textId="77777777" w:rsidR="00FE14BD" w:rsidRDefault="00FE14BD">
            <w:pPr>
              <w:rPr>
                <w:sz w:val="2"/>
                <w:szCs w:val="2"/>
              </w:rPr>
            </w:pP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73DC" w14:textId="77777777" w:rsidR="00FE14BD" w:rsidRDefault="00743187">
            <w:pPr>
              <w:pStyle w:val="TableParagraph"/>
              <w:spacing w:line="250" w:lineRule="exact"/>
              <w:ind w:left="109"/>
            </w:pPr>
            <w:r>
              <w:t>Has the consultation included patient representatives?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7BC4" w14:textId="77777777" w:rsidR="00FE14BD" w:rsidRDefault="00743187">
            <w:pPr>
              <w:pStyle w:val="TableParagraph"/>
              <w:spacing w:before="2" w:line="250" w:lineRule="atLeast"/>
              <w:ind w:left="109" w:right="752"/>
            </w:pPr>
            <w:r>
              <w:t>Yes (via CPG and ECCP membership)</w:t>
            </w:r>
          </w:p>
        </w:tc>
      </w:tr>
    </w:tbl>
    <w:p w14:paraId="5494614B" w14:textId="77777777" w:rsidR="00FE14BD" w:rsidRDefault="00FE14BD">
      <w:pPr>
        <w:pStyle w:val="BodyText"/>
        <w:rPr>
          <w:b/>
          <w:sz w:val="19"/>
        </w:rPr>
      </w:pPr>
    </w:p>
    <w:p w14:paraId="5B655116" w14:textId="77777777" w:rsidR="00FE14BD" w:rsidRDefault="00743187">
      <w:pPr>
        <w:spacing w:before="92" w:after="48"/>
        <w:ind w:left="1140"/>
        <w:rPr>
          <w:b/>
          <w:sz w:val="24"/>
        </w:rPr>
      </w:pPr>
      <w:r>
        <w:rPr>
          <w:b/>
          <w:sz w:val="24"/>
        </w:rPr>
        <w:t>Policy sign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</w:t>
      </w:r>
    </w:p>
    <w:tbl>
      <w:tblPr>
        <w:tblW w:w="0" w:type="auto"/>
        <w:tblInd w:w="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322"/>
      </w:tblGrid>
      <w:tr w:rsidR="00FE14BD" w14:paraId="1B0E87EC" w14:textId="77777777">
        <w:trPr>
          <w:trHeight w:val="251"/>
        </w:trPr>
        <w:tc>
          <w:tcPr>
            <w:tcW w:w="5922" w:type="dxa"/>
          </w:tcPr>
          <w:p w14:paraId="58E4A6D6" w14:textId="77777777" w:rsidR="00FE14BD" w:rsidRDefault="0074318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Reviewing Body</w:t>
            </w:r>
          </w:p>
        </w:tc>
        <w:tc>
          <w:tcPr>
            <w:tcW w:w="3322" w:type="dxa"/>
          </w:tcPr>
          <w:p w14:paraId="56E14485" w14:textId="77777777" w:rsidR="00FE14BD" w:rsidRDefault="0074318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Date of review</w:t>
            </w:r>
          </w:p>
        </w:tc>
      </w:tr>
      <w:tr w:rsidR="00FE14BD" w14:paraId="693A1837" w14:textId="77777777">
        <w:trPr>
          <w:trHeight w:val="253"/>
        </w:trPr>
        <w:tc>
          <w:tcPr>
            <w:tcW w:w="5922" w:type="dxa"/>
          </w:tcPr>
          <w:p w14:paraId="178127E7" w14:textId="77777777" w:rsidR="00FE14BD" w:rsidRDefault="00743187">
            <w:pPr>
              <w:pStyle w:val="TableParagraph"/>
              <w:spacing w:line="234" w:lineRule="exact"/>
            </w:pPr>
            <w:r>
              <w:t>Effective Clinical Commissioning Policy Group</w:t>
            </w:r>
          </w:p>
        </w:tc>
        <w:tc>
          <w:tcPr>
            <w:tcW w:w="3322" w:type="dxa"/>
          </w:tcPr>
          <w:p w14:paraId="50E4811D" w14:textId="77777777" w:rsidR="00FE14BD" w:rsidRDefault="00743187">
            <w:pPr>
              <w:pStyle w:val="TableParagraph"/>
              <w:spacing w:line="234" w:lineRule="exac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August 2015</w:t>
            </w:r>
          </w:p>
        </w:tc>
      </w:tr>
      <w:tr w:rsidR="00FE14BD" w14:paraId="719F8079" w14:textId="77777777">
        <w:trPr>
          <w:trHeight w:val="254"/>
        </w:trPr>
        <w:tc>
          <w:tcPr>
            <w:tcW w:w="5922" w:type="dxa"/>
          </w:tcPr>
          <w:p w14:paraId="74BFD849" w14:textId="77777777" w:rsidR="00FE14BD" w:rsidRDefault="00743187">
            <w:pPr>
              <w:pStyle w:val="TableParagraph"/>
              <w:spacing w:line="234" w:lineRule="exact"/>
            </w:pPr>
            <w:r>
              <w:t>Integrated Governance and Quality Committee</w:t>
            </w:r>
          </w:p>
        </w:tc>
        <w:tc>
          <w:tcPr>
            <w:tcW w:w="3322" w:type="dxa"/>
          </w:tcPr>
          <w:p w14:paraId="7ED94E58" w14:textId="77777777" w:rsidR="00FE14BD" w:rsidRDefault="00743187">
            <w:pPr>
              <w:pStyle w:val="TableParagraph"/>
              <w:spacing w:line="234" w:lineRule="exact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August 2015</w:t>
            </w:r>
          </w:p>
        </w:tc>
      </w:tr>
    </w:tbl>
    <w:p w14:paraId="0F10A190" w14:textId="77777777" w:rsidR="00FE14BD" w:rsidRDefault="00FE14BD">
      <w:pPr>
        <w:pStyle w:val="BodyText"/>
        <w:spacing w:before="8"/>
        <w:rPr>
          <w:b/>
          <w:sz w:val="21"/>
        </w:rPr>
      </w:pPr>
    </w:p>
    <w:p w14:paraId="0C12D1AE" w14:textId="77777777" w:rsidR="00FE14BD" w:rsidRDefault="00743187">
      <w:pPr>
        <w:pStyle w:val="Heading2"/>
        <w:spacing w:after="4"/>
        <w:ind w:left="1121"/>
        <w:rPr>
          <w:rFonts w:ascii="Arial"/>
        </w:rPr>
      </w:pPr>
      <w:r>
        <w:rPr>
          <w:rFonts w:ascii="Arial"/>
        </w:rPr>
        <w:t>Version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Control</w:t>
      </w:r>
    </w:p>
    <w:tbl>
      <w:tblPr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2103"/>
        <w:gridCol w:w="876"/>
        <w:gridCol w:w="4820"/>
      </w:tblGrid>
      <w:tr w:rsidR="00FE14BD" w14:paraId="03416FED" w14:textId="77777777">
        <w:trPr>
          <w:trHeight w:val="290"/>
        </w:trPr>
        <w:tc>
          <w:tcPr>
            <w:tcW w:w="1416" w:type="dxa"/>
          </w:tcPr>
          <w:p w14:paraId="4902B4CF" w14:textId="77777777" w:rsidR="00FE14BD" w:rsidRDefault="0074318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Version No</w:t>
            </w:r>
          </w:p>
        </w:tc>
        <w:tc>
          <w:tcPr>
            <w:tcW w:w="2103" w:type="dxa"/>
          </w:tcPr>
          <w:p w14:paraId="07DF56AC" w14:textId="77777777" w:rsidR="00FE14BD" w:rsidRDefault="0074318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Type of Change</w:t>
            </w:r>
          </w:p>
        </w:tc>
        <w:tc>
          <w:tcPr>
            <w:tcW w:w="876" w:type="dxa"/>
          </w:tcPr>
          <w:p w14:paraId="1E0CC66C" w14:textId="77777777" w:rsidR="00FE14BD" w:rsidRDefault="0074318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20" w:type="dxa"/>
          </w:tcPr>
          <w:p w14:paraId="6B24F114" w14:textId="77777777" w:rsidR="00FE14BD" w:rsidRDefault="0074318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Description of Change</w:t>
            </w:r>
          </w:p>
        </w:tc>
      </w:tr>
      <w:tr w:rsidR="00FE14BD" w14:paraId="78A77B1B" w14:textId="77777777">
        <w:trPr>
          <w:trHeight w:val="319"/>
        </w:trPr>
        <w:tc>
          <w:tcPr>
            <w:tcW w:w="1416" w:type="dxa"/>
          </w:tcPr>
          <w:p w14:paraId="006F7AB1" w14:textId="77777777" w:rsidR="00FE14BD" w:rsidRDefault="00743187">
            <w:pPr>
              <w:pStyle w:val="TableParagraph"/>
              <w:spacing w:before="37"/>
              <w:ind w:left="184"/>
            </w:pPr>
            <w:r>
              <w:t>V2</w:t>
            </w:r>
          </w:p>
        </w:tc>
        <w:tc>
          <w:tcPr>
            <w:tcW w:w="2103" w:type="dxa"/>
          </w:tcPr>
          <w:p w14:paraId="4FC2967E" w14:textId="77777777" w:rsidR="00FE14BD" w:rsidRDefault="00743187">
            <w:pPr>
              <w:pStyle w:val="TableParagraph"/>
              <w:spacing w:before="4"/>
              <w:ind w:left="118"/>
            </w:pPr>
            <w:r>
              <w:t>Policy review date</w:t>
            </w:r>
          </w:p>
        </w:tc>
        <w:tc>
          <w:tcPr>
            <w:tcW w:w="876" w:type="dxa"/>
          </w:tcPr>
          <w:p w14:paraId="77144777" w14:textId="77777777" w:rsidR="00FE14BD" w:rsidRDefault="00743187">
            <w:pPr>
              <w:pStyle w:val="TableParagraph"/>
              <w:spacing w:before="37"/>
              <w:ind w:left="73"/>
            </w:pPr>
            <w:r>
              <w:t>4.4.19</w:t>
            </w:r>
          </w:p>
        </w:tc>
        <w:tc>
          <w:tcPr>
            <w:tcW w:w="4820" w:type="dxa"/>
          </w:tcPr>
          <w:p w14:paraId="60069C4F" w14:textId="77777777" w:rsidR="00FE14BD" w:rsidRDefault="00743187" w:rsidP="00743187">
            <w:pPr>
              <w:pStyle w:val="TableParagraph"/>
              <w:spacing w:before="86" w:line="213" w:lineRule="exact"/>
              <w:ind w:left="57"/>
            </w:pPr>
            <w:r>
              <w:t>Policy review date changed to April 2021</w:t>
            </w:r>
          </w:p>
        </w:tc>
      </w:tr>
      <w:tr w:rsidR="00FE14BD" w14:paraId="51A13B12" w14:textId="77777777">
        <w:trPr>
          <w:trHeight w:val="316"/>
        </w:trPr>
        <w:tc>
          <w:tcPr>
            <w:tcW w:w="1416" w:type="dxa"/>
          </w:tcPr>
          <w:p w14:paraId="4C2AB70A" w14:textId="06F0DD6F" w:rsidR="00FE14BD" w:rsidRPr="00743187" w:rsidRDefault="00743187" w:rsidP="00743187">
            <w:pPr>
              <w:pStyle w:val="TableParagraph"/>
              <w:spacing w:before="4"/>
              <w:ind w:left="118"/>
            </w:pPr>
            <w:r w:rsidRPr="00743187">
              <w:t xml:space="preserve"> V3</w:t>
            </w:r>
          </w:p>
        </w:tc>
        <w:tc>
          <w:tcPr>
            <w:tcW w:w="2103" w:type="dxa"/>
          </w:tcPr>
          <w:p w14:paraId="1DBCDAC5" w14:textId="76620B0B" w:rsidR="00FE14BD" w:rsidRPr="00743187" w:rsidRDefault="00743187" w:rsidP="00743187">
            <w:pPr>
              <w:pStyle w:val="TableParagraph"/>
              <w:spacing w:before="4"/>
              <w:ind w:left="118"/>
            </w:pPr>
            <w:r w:rsidRPr="00743187">
              <w:t>Policy review date</w:t>
            </w:r>
          </w:p>
        </w:tc>
        <w:tc>
          <w:tcPr>
            <w:tcW w:w="876" w:type="dxa"/>
          </w:tcPr>
          <w:p w14:paraId="71216CC3" w14:textId="5D43A8DD" w:rsidR="00FE14BD" w:rsidRPr="00743187" w:rsidRDefault="00743187" w:rsidP="00743187">
            <w:pPr>
              <w:pStyle w:val="TableParagraph"/>
              <w:spacing w:before="4"/>
              <w:ind w:left="0"/>
            </w:pPr>
            <w:r w:rsidRPr="00743187">
              <w:t xml:space="preserve"> </w:t>
            </w:r>
            <w:r>
              <w:t>1</w:t>
            </w:r>
            <w:r w:rsidRPr="00743187">
              <w:t>0.6.21</w:t>
            </w:r>
          </w:p>
        </w:tc>
        <w:tc>
          <w:tcPr>
            <w:tcW w:w="4820" w:type="dxa"/>
          </w:tcPr>
          <w:p w14:paraId="2A5673B2" w14:textId="65D03070" w:rsidR="00FE14BD" w:rsidRPr="00743187" w:rsidRDefault="00743187" w:rsidP="00743187">
            <w:pPr>
              <w:pStyle w:val="TableParagraph"/>
              <w:spacing w:before="4"/>
              <w:ind w:left="118"/>
            </w:pPr>
            <w:r>
              <w:t xml:space="preserve">Policy reviewed by G </w:t>
            </w:r>
            <w:proofErr w:type="spellStart"/>
            <w:r>
              <w:t>Mennie</w:t>
            </w:r>
            <w:proofErr w:type="spellEnd"/>
            <w:r>
              <w:t>, Ophthalmic Lead – no changed required. Policy date changed to June 2024</w:t>
            </w:r>
          </w:p>
        </w:tc>
      </w:tr>
      <w:tr w:rsidR="00FE14BD" w14:paraId="41052672" w14:textId="77777777">
        <w:trPr>
          <w:trHeight w:val="318"/>
        </w:trPr>
        <w:tc>
          <w:tcPr>
            <w:tcW w:w="1416" w:type="dxa"/>
          </w:tcPr>
          <w:p w14:paraId="3163FF5A" w14:textId="77777777" w:rsidR="00FE14BD" w:rsidRDefault="00FE14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14:paraId="6447E30E" w14:textId="77777777" w:rsidR="00FE14BD" w:rsidRDefault="00FE14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34DE753D" w14:textId="77777777" w:rsidR="00FE14BD" w:rsidRDefault="00FE14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5544873E" w14:textId="77777777" w:rsidR="00FE14BD" w:rsidRDefault="00FE14B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DA0C3D8" w14:textId="77777777" w:rsidR="00000000" w:rsidRDefault="00743187">
      <w:bookmarkStart w:id="0" w:name="_GoBack"/>
      <w:bookmarkEnd w:id="0"/>
    </w:p>
    <w:sectPr w:rsidR="00000000">
      <w:pgSz w:w="11920" w:h="16850"/>
      <w:pgMar w:top="260" w:right="260" w:bottom="1180" w:left="3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C9B7" w14:textId="77777777" w:rsidR="00000000" w:rsidRDefault="00743187">
      <w:r>
        <w:separator/>
      </w:r>
    </w:p>
  </w:endnote>
  <w:endnote w:type="continuationSeparator" w:id="0">
    <w:p w14:paraId="100A737C" w14:textId="77777777" w:rsidR="00000000" w:rsidRDefault="0074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AB33" w14:textId="77777777" w:rsidR="00FE14BD" w:rsidRDefault="00743187">
    <w:pPr>
      <w:pStyle w:val="BodyText"/>
      <w:spacing w:line="14" w:lineRule="auto"/>
      <w:rPr>
        <w:sz w:val="20"/>
      </w:rPr>
    </w:pPr>
    <w:r>
      <w:pict w14:anchorId="5C38CC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781.5pt;width:247.85pt;height:15.3pt;z-index:-251658752;mso-position-horizontal-relative:page;mso-position-vertical-relative:page" filled="f" stroked="f">
          <v:textbox style="mso-next-textbox:#_x0000_s2049" inset="0,0,0,0">
            <w:txbxContent>
              <w:p w14:paraId="68A766E5" w14:textId="5A10080A" w:rsidR="00FE14BD" w:rsidRDefault="00743187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                                                                 v</w:t>
                </w:r>
                <w:r w:rsidRPr="00743187">
                  <w:rPr>
                    <w:sz w:val="20"/>
                    <w:szCs w:val="20"/>
                  </w:rPr>
                  <w:t>3</w:t>
                </w:r>
                <w:r>
                  <w:t xml:space="preserve">                      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F918" w14:textId="77777777" w:rsidR="00000000" w:rsidRDefault="00743187">
      <w:r>
        <w:separator/>
      </w:r>
    </w:p>
  </w:footnote>
  <w:footnote w:type="continuationSeparator" w:id="0">
    <w:p w14:paraId="3B017DB1" w14:textId="77777777" w:rsidR="00000000" w:rsidRDefault="0074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4BD"/>
    <w:rsid w:val="00743187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26D4BD"/>
  <w15:docId w15:val="{64CA9B71-4BA5-4A70-8A90-7E6D304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743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8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43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187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LCCG.IFR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Company>GLOUCESTERSHIRE HOSPITALS NHS FOUNDATION TRUST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HIGGINS, Jacky (NHS GLOUCESTERSHIRE CCG)</cp:lastModifiedBy>
  <cp:revision>2</cp:revision>
  <dcterms:created xsi:type="dcterms:W3CDTF">2021-07-08T10:41:00Z</dcterms:created>
  <dcterms:modified xsi:type="dcterms:W3CDTF">2021-07-08T10:41:00Z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2021-07-08T00:00:00Z</vt:filetime>
  </property>
</Properties>
</file>