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B150" w14:textId="4890D541" w:rsidR="00052BE6" w:rsidRDefault="00D62032">
      <w:pPr>
        <w:pStyle w:val="BodyText"/>
        <w:rPr>
          <w:rFonts w:ascii="Times New Roman"/>
          <w:sz w:val="20"/>
        </w:rPr>
      </w:pPr>
      <w:r>
        <w:rPr>
          <w:noProof/>
          <w:lang w:val="en-GB" w:eastAsia="en-GB"/>
        </w:rPr>
        <w:drawing>
          <wp:anchor distT="0" distB="0" distL="0" distR="0" simplePos="0" relativeHeight="251654656" behindDoc="0" locked="0" layoutInCell="1" allowOverlap="1" wp14:anchorId="7496C463" wp14:editId="4C1D8E5C">
            <wp:simplePos x="0" y="0"/>
            <wp:positionH relativeFrom="page">
              <wp:posOffset>4441825</wp:posOffset>
            </wp:positionH>
            <wp:positionV relativeFrom="page">
              <wp:posOffset>94615</wp:posOffset>
            </wp:positionV>
            <wp:extent cx="2934334" cy="1012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34334" cy="1012825"/>
                    </a:xfrm>
                    <a:prstGeom prst="rect">
                      <a:avLst/>
                    </a:prstGeom>
                  </pic:spPr>
                </pic:pic>
              </a:graphicData>
            </a:graphic>
          </wp:anchor>
        </w:drawing>
      </w:r>
      <w:r w:rsidR="00C41869">
        <w:rPr>
          <w:noProof/>
          <w:lang w:val="en-GB" w:eastAsia="en-GB"/>
        </w:rPr>
        <mc:AlternateContent>
          <mc:Choice Requires="wps">
            <w:drawing>
              <wp:anchor distT="0" distB="0" distL="114300" distR="114300" simplePos="0" relativeHeight="251660800" behindDoc="1" locked="0" layoutInCell="1" allowOverlap="1" wp14:anchorId="64E29878" wp14:editId="4D6836FE">
                <wp:simplePos x="0" y="0"/>
                <wp:positionH relativeFrom="page">
                  <wp:posOffset>323850</wp:posOffset>
                </wp:positionH>
                <wp:positionV relativeFrom="page">
                  <wp:posOffset>105410</wp:posOffset>
                </wp:positionV>
                <wp:extent cx="2638425" cy="904875"/>
                <wp:effectExtent l="9525" t="10160" r="9525" b="889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BD0AD" id="Rectangle 13" o:spid="_x0000_s1026" style="position:absolute;margin-left:25.5pt;margin-top:8.3pt;width:207.75pt;height:71.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" filled="f">
                <w10:wrap anchorx="page" anchory="page"/>
              </v:rect>
            </w:pict>
          </mc:Fallback>
        </mc:AlternateContent>
      </w:r>
    </w:p>
    <w:p w14:paraId="2EE42002" w14:textId="77777777" w:rsidR="00052BE6" w:rsidRDefault="00052BE6">
      <w:pPr>
        <w:pStyle w:val="BodyText"/>
        <w:rPr>
          <w:rFonts w:ascii="Times New Roman"/>
          <w:sz w:val="20"/>
        </w:rPr>
      </w:pPr>
    </w:p>
    <w:p w14:paraId="00ACAD52" w14:textId="77777777" w:rsidR="00052BE6" w:rsidRDefault="00052BE6">
      <w:pPr>
        <w:pStyle w:val="BodyText"/>
        <w:spacing w:before="9"/>
        <w:rPr>
          <w:rFonts w:ascii="Times New Roman"/>
          <w:sz w:val="21"/>
        </w:rPr>
      </w:pPr>
    </w:p>
    <w:p w14:paraId="7B81C5ED" w14:textId="77777777" w:rsidR="00052BE6" w:rsidRDefault="00C41869">
      <w:pPr>
        <w:pStyle w:val="Heading1"/>
        <w:spacing w:before="1"/>
        <w:ind w:left="4987"/>
      </w:pPr>
      <w:r>
        <w:t>Hydroceles</w:t>
      </w:r>
    </w:p>
    <w:p w14:paraId="3C931C92" w14:textId="77777777" w:rsidR="00052BE6" w:rsidRDefault="00052BE6">
      <w:pPr>
        <w:pStyle w:val="BodyText"/>
        <w:rPr>
          <w:b/>
          <w:sz w:val="20"/>
        </w:rPr>
      </w:pPr>
    </w:p>
    <w:p w14:paraId="72BBDBA3" w14:textId="77777777" w:rsidR="00052BE6" w:rsidRDefault="00052BE6">
      <w:pPr>
        <w:pStyle w:val="BodyText"/>
        <w:spacing w:before="8"/>
        <w:rPr>
          <w:b/>
          <w:sz w:val="11"/>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3"/>
        <w:gridCol w:w="7185"/>
      </w:tblGrid>
      <w:tr w:rsidR="00052BE6" w14:paraId="48F48794" w14:textId="77777777" w:rsidTr="006832C6">
        <w:trPr>
          <w:trHeight w:hRule="exact" w:val="901"/>
        </w:trPr>
        <w:tc>
          <w:tcPr>
            <w:tcW w:w="2103" w:type="dxa"/>
            <w:shd w:val="clear" w:color="auto" w:fill="D9D9D9"/>
          </w:tcPr>
          <w:p w14:paraId="2BE5EAD0" w14:textId="77777777" w:rsidR="00052BE6" w:rsidRDefault="00C41869">
            <w:pPr>
              <w:pStyle w:val="TableParagraph"/>
              <w:spacing w:line="240" w:lineRule="auto"/>
              <w:ind w:right="160"/>
              <w:rPr>
                <w:b/>
                <w:sz w:val="24"/>
              </w:rPr>
            </w:pPr>
            <w:r>
              <w:rPr>
                <w:b/>
                <w:sz w:val="24"/>
              </w:rPr>
              <w:t>Commissioning decision</w:t>
            </w:r>
          </w:p>
        </w:tc>
        <w:tc>
          <w:tcPr>
            <w:tcW w:w="7185" w:type="dxa"/>
          </w:tcPr>
          <w:p w14:paraId="2E6DE4F0" w14:textId="01DC648B" w:rsidR="00052BE6" w:rsidRDefault="00C41869" w:rsidP="00217E36">
            <w:pPr>
              <w:pStyle w:val="TableParagraph"/>
              <w:spacing w:line="240" w:lineRule="auto"/>
              <w:ind w:right="88"/>
              <w:jc w:val="both"/>
              <w:rPr>
                <w:b/>
              </w:rPr>
            </w:pPr>
            <w:r>
              <w:rPr>
                <w:b/>
              </w:rPr>
              <w:t xml:space="preserve">The CCG will provide funding for secondary care treatment of hydroceles for patients who meet the criteria defined within this policy. </w:t>
            </w:r>
          </w:p>
        </w:tc>
      </w:tr>
    </w:tbl>
    <w:p w14:paraId="6802220A" w14:textId="77777777" w:rsidR="00052BE6" w:rsidRDefault="00052BE6">
      <w:pPr>
        <w:pStyle w:val="BodyText"/>
        <w:spacing w:before="11"/>
        <w:rPr>
          <w:b/>
          <w:sz w:val="26"/>
        </w:rPr>
      </w:pPr>
      <w:bookmarkStart w:id="0" w:name="_GoBack"/>
      <w:bookmarkEnd w:id="0"/>
    </w:p>
    <w:p w14:paraId="34E0BB57" w14:textId="77777777" w:rsidR="00052BE6" w:rsidRDefault="00C41869">
      <w:pPr>
        <w:pStyle w:val="Heading1"/>
      </w:pPr>
      <w:r>
        <w:rPr>
          <w:noProof/>
          <w:lang w:val="en-GB" w:eastAsia="en-GB"/>
        </w:rPr>
        <mc:AlternateContent>
          <mc:Choice Requires="wps">
            <w:drawing>
              <wp:anchor distT="0" distB="0" distL="0" distR="0" simplePos="0" relativeHeight="251655680" behindDoc="0" locked="0" layoutInCell="1" allowOverlap="1" wp14:anchorId="26C39683" wp14:editId="00914AB1">
                <wp:simplePos x="0" y="0"/>
                <wp:positionH relativeFrom="page">
                  <wp:posOffset>845820</wp:posOffset>
                </wp:positionH>
                <wp:positionV relativeFrom="paragraph">
                  <wp:posOffset>207645</wp:posOffset>
                </wp:positionV>
                <wp:extent cx="5869940" cy="2426970"/>
                <wp:effectExtent l="7620" t="7620" r="8890" b="13335"/>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4269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9C0A60" w14:textId="77777777" w:rsidR="001871DE" w:rsidRDefault="001871DE">
                            <w:pPr>
                              <w:pStyle w:val="BodyText"/>
                              <w:ind w:left="103" w:right="328"/>
                            </w:pPr>
                            <w:r>
                              <w:t>The CCG will agree to fund surgical referral for hydroceles in patients aged between 2 and 17 years old. Children under 2 years of age should rarely need treatment unless there are significant concerns about a hernia being present as most infant hydroceles will resolve without intervention.</w:t>
                            </w:r>
                          </w:p>
                          <w:p w14:paraId="4A46DDD1" w14:textId="77777777" w:rsidR="001871DE" w:rsidRDefault="001871DE">
                            <w:pPr>
                              <w:pStyle w:val="BodyText"/>
                              <w:spacing w:before="4"/>
                              <w:rPr>
                                <w:b/>
                              </w:rPr>
                            </w:pPr>
                          </w:p>
                          <w:p w14:paraId="1BB865B5" w14:textId="77777777" w:rsidR="001871DE" w:rsidRDefault="001871DE">
                            <w:pPr>
                              <w:pStyle w:val="BodyText"/>
                              <w:ind w:left="103" w:right="278"/>
                            </w:pPr>
                            <w:r>
                              <w:t>In patients aged 18 and over referral should only be made if the patient meets the following criteria:</w:t>
                            </w:r>
                          </w:p>
                          <w:p w14:paraId="0C228EDF" w14:textId="77777777" w:rsidR="001871DE" w:rsidRDefault="001871DE">
                            <w:pPr>
                              <w:pStyle w:val="ListParagraph"/>
                              <w:numPr>
                                <w:ilvl w:val="0"/>
                                <w:numId w:val="1"/>
                              </w:numPr>
                              <w:tabs>
                                <w:tab w:val="left" w:pos="823"/>
                                <w:tab w:val="left" w:pos="824"/>
                              </w:tabs>
                            </w:pPr>
                            <w:r>
                              <w:t>Hydrocele symptoms are causing significant discomfort or functional impairment that is interfering with normal work, educational responsibilities and/or normal domestic activities. Description of problems should be documented in referral</w:t>
                            </w:r>
                            <w:r>
                              <w:rPr>
                                <w:spacing w:val="-34"/>
                              </w:rPr>
                              <w:t xml:space="preserve"> </w:t>
                            </w:r>
                            <w:r>
                              <w:t>letter.</w:t>
                            </w:r>
                          </w:p>
                          <w:p w14:paraId="24CFCABE" w14:textId="77777777" w:rsidR="001871DE" w:rsidRDefault="001871DE">
                            <w:pPr>
                              <w:pStyle w:val="BodyText"/>
                              <w:spacing w:before="4"/>
                              <w:rPr>
                                <w:b/>
                              </w:rPr>
                            </w:pPr>
                          </w:p>
                          <w:p w14:paraId="52A1AAAC" w14:textId="77777777" w:rsidR="001871DE" w:rsidRPr="0002467A" w:rsidRDefault="001871DE">
                            <w:pPr>
                              <w:pStyle w:val="BodyText"/>
                              <w:ind w:left="103" w:right="194"/>
                            </w:pPr>
                            <w:r>
                              <w:t xml:space="preserve">Where a Patient or GP has concern about scrotal swelling and is unclear if this is caused by a hydrocele an </w:t>
                            </w:r>
                            <w:r w:rsidR="00AB618D">
                              <w:t>u</w:t>
                            </w:r>
                            <w:r>
                              <w:t xml:space="preserve">ltrasound </w:t>
                            </w:r>
                            <w:r w:rsidR="00AB618D">
                              <w:t>s</w:t>
                            </w:r>
                            <w:r>
                              <w:t xml:space="preserve">can should be considered as a simple way to alleviate concerns and may obviate the need for a referral.  </w:t>
                            </w:r>
                            <w:r w:rsidRPr="0002467A">
                              <w:t xml:space="preserve">This does not require repeating if hydrocele confirmed ultrasonically.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39683" id="_x0000_t202" coordsize="21600,21600" o:spt="202" path="m,l,21600r21600,l21600,xe">
                <v:stroke joinstyle="miter"/>
                <v:path gradientshapeok="t" o:connecttype="rect"/>
              </v:shapetype>
              <v:shape id="Text Box 12" o:spid="_x0000_s1026" type="#_x0000_t202" style="position:absolute;left:0;text-align:left;margin-left:66.6pt;margin-top:16.35pt;width:462.2pt;height:191.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" filled="f" strokeweight=".16936mm">
                <v:textbox inset="0,0,0,0">
                  <w:txbxContent>
                    <w:p w14:paraId="319C0A60" w14:textId="77777777" w:rsidR="001871DE" w:rsidRDefault="001871DE">
                      <w:pPr>
                        <w:pStyle w:val="BodyText"/>
                        <w:ind w:left="103" w:right="328"/>
                      </w:pPr>
                      <w:r>
                        <w:t>The CCG will agree to fund surgical referral for hydroceles in patients aged between 2 and 17 years old. Children under 2 years of age should rarely need treatment unless there are significant concerns about a hernia being present as most infant hydroceles will resolve without intervention.</w:t>
                      </w:r>
                    </w:p>
                    <w:p w14:paraId="4A46DDD1" w14:textId="77777777" w:rsidR="001871DE" w:rsidRDefault="001871DE">
                      <w:pPr>
                        <w:pStyle w:val="BodyText"/>
                        <w:spacing w:before="4"/>
                        <w:rPr>
                          <w:b/>
                        </w:rPr>
                      </w:pPr>
                    </w:p>
                    <w:p w14:paraId="1BB865B5" w14:textId="77777777" w:rsidR="001871DE" w:rsidRDefault="001871DE">
                      <w:pPr>
                        <w:pStyle w:val="BodyText"/>
                        <w:ind w:left="103" w:right="278"/>
                      </w:pPr>
                      <w:r>
                        <w:t>In patients aged 18 and over referral should only be made if the patient meets the following criteria:</w:t>
                      </w:r>
                    </w:p>
                    <w:p w14:paraId="0C228EDF" w14:textId="77777777" w:rsidR="001871DE" w:rsidRDefault="001871DE">
                      <w:pPr>
                        <w:pStyle w:val="ListParagraph"/>
                        <w:numPr>
                          <w:ilvl w:val="0"/>
                          <w:numId w:val="1"/>
                        </w:numPr>
                        <w:tabs>
                          <w:tab w:val="left" w:pos="823"/>
                          <w:tab w:val="left" w:pos="824"/>
                        </w:tabs>
                      </w:pPr>
                      <w:r>
                        <w:t>Hydrocele symptoms are causing significant discomfort or functional impairment that is interfering with normal work, educational responsibilities and/or normal domestic activities. Description of problems should be documented in referral</w:t>
                      </w:r>
                      <w:r>
                        <w:rPr>
                          <w:spacing w:val="-34"/>
                        </w:rPr>
                        <w:t xml:space="preserve"> </w:t>
                      </w:r>
                      <w:r>
                        <w:t>letter.</w:t>
                      </w:r>
                    </w:p>
                    <w:p w14:paraId="24CFCABE" w14:textId="77777777" w:rsidR="001871DE" w:rsidRDefault="001871DE">
                      <w:pPr>
                        <w:pStyle w:val="BodyText"/>
                        <w:spacing w:before="4"/>
                        <w:rPr>
                          <w:b/>
                        </w:rPr>
                      </w:pPr>
                    </w:p>
                    <w:p w14:paraId="52A1AAAC" w14:textId="77777777" w:rsidR="001871DE" w:rsidRPr="0002467A" w:rsidRDefault="001871DE">
                      <w:pPr>
                        <w:pStyle w:val="BodyText"/>
                        <w:ind w:left="103" w:right="194"/>
                      </w:pPr>
                      <w:r>
                        <w:t xml:space="preserve">Where a Patient or GP has concern about scrotal swelling and is unclear if this is caused by a hydrocele an </w:t>
                      </w:r>
                      <w:r w:rsidR="00AB618D">
                        <w:t>u</w:t>
                      </w:r>
                      <w:r>
                        <w:t xml:space="preserve">ltrasound </w:t>
                      </w:r>
                      <w:r w:rsidR="00AB618D">
                        <w:t>s</w:t>
                      </w:r>
                      <w:r>
                        <w:t xml:space="preserve">can should be considered as a simple way to alleviate concerns and may obviate the need for a referral.  </w:t>
                      </w:r>
                      <w:r w:rsidRPr="0002467A">
                        <w:t xml:space="preserve">This does not require repeating if hydrocele confirmed ultrasonically. </w:t>
                      </w:r>
                    </w:p>
                  </w:txbxContent>
                </v:textbox>
                <w10:wrap type="topAndBottom" anchorx="page"/>
              </v:shape>
            </w:pict>
          </mc:Fallback>
        </mc:AlternateContent>
      </w:r>
      <w:r>
        <w:t>Policy Statement:</w:t>
      </w:r>
    </w:p>
    <w:p w14:paraId="2C7FCD0D" w14:textId="77777777" w:rsidR="00052BE6" w:rsidRDefault="00052BE6">
      <w:pPr>
        <w:pStyle w:val="BodyText"/>
        <w:spacing w:before="4"/>
        <w:rPr>
          <w:b/>
        </w:rPr>
      </w:pPr>
    </w:p>
    <w:p w14:paraId="3DEA3A66" w14:textId="5AF3CDD9" w:rsidR="00052BE6" w:rsidRDefault="00C41869">
      <w:pPr>
        <w:pStyle w:val="Heading1"/>
      </w:pPr>
      <w:r>
        <w:rPr>
          <w:noProof/>
          <w:lang w:val="en-GB" w:eastAsia="en-GB"/>
        </w:rPr>
        <mc:AlternateContent>
          <mc:Choice Requires="wps">
            <w:drawing>
              <wp:anchor distT="0" distB="0" distL="0" distR="0" simplePos="0" relativeHeight="251656704" behindDoc="0" locked="0" layoutInCell="1" allowOverlap="1" wp14:anchorId="076C6348" wp14:editId="60EB12DC">
                <wp:simplePos x="0" y="0"/>
                <wp:positionH relativeFrom="page">
                  <wp:posOffset>845820</wp:posOffset>
                </wp:positionH>
                <wp:positionV relativeFrom="paragraph">
                  <wp:posOffset>207010</wp:posOffset>
                </wp:positionV>
                <wp:extent cx="5869940" cy="1468120"/>
                <wp:effectExtent l="7620" t="6985" r="8890" b="10795"/>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468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CD7643" w14:textId="77777777" w:rsidR="001871DE" w:rsidRDefault="001871DE">
                            <w:pPr>
                              <w:pStyle w:val="BodyText"/>
                              <w:ind w:left="103" w:right="304"/>
                            </w:pPr>
                            <w:r>
                              <w:t xml:space="preserve">Hydroceles (fluid collection around the testicles) may be present at birth and are common, affecting around one male baby in every 10. They do not usually require treatment as they often </w:t>
                            </w:r>
                            <w:r w:rsidRPr="0002467A">
                              <w:t xml:space="preserve">resolve </w:t>
                            </w:r>
                            <w:r>
                              <w:t>on their own during the first 2 years of life. The CCG will fund treatment for hydroceles in children if they do not disappear by the age of 2.</w:t>
                            </w:r>
                          </w:p>
                          <w:p w14:paraId="763ED056" w14:textId="77777777" w:rsidR="001871DE" w:rsidRDefault="001871DE">
                            <w:pPr>
                              <w:pStyle w:val="BodyText"/>
                              <w:spacing w:before="3"/>
                              <w:rPr>
                                <w:b/>
                              </w:rPr>
                            </w:pPr>
                          </w:p>
                          <w:p w14:paraId="62CB77F0" w14:textId="77777777" w:rsidR="001871DE" w:rsidRDefault="001871DE">
                            <w:pPr>
                              <w:pStyle w:val="BodyText"/>
                              <w:ind w:left="103" w:right="585"/>
                            </w:pPr>
                            <w:r>
                              <w:t>Less commonly, hydroceles can develop in adult men</w:t>
                            </w:r>
                            <w:r w:rsidRPr="0002467A">
                              <w:t xml:space="preserve">, spontaneously, or </w:t>
                            </w:r>
                            <w:r>
                              <w:t>following infection and/or injury.  Hydroceles are</w:t>
                            </w:r>
                            <w:r w:rsidRPr="0070236B">
                              <w:rPr>
                                <w:color w:val="FF0000"/>
                              </w:rPr>
                              <w:t xml:space="preserve"> </w:t>
                            </w:r>
                            <w:r w:rsidRPr="0002467A">
                              <w:t xml:space="preserve">commonly </w:t>
                            </w:r>
                            <w:r>
                              <w:t>asymptomatic. Therefore, in adults treatment is not funded unless the hydrocele is causing significant symptoms.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C6348" id="Text Box 11" o:spid="_x0000_s1027" type="#_x0000_t202" style="position:absolute;left:0;text-align:left;margin-left:66.6pt;margin-top:16.3pt;width:462.2pt;height:115.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" filled="f" strokeweight=".16936mm">
                <v:textbox inset="0,0,0,0">
                  <w:txbxContent>
                    <w:p w14:paraId="45CD7643" w14:textId="77777777" w:rsidR="001871DE" w:rsidRDefault="001871DE">
                      <w:pPr>
                        <w:pStyle w:val="BodyText"/>
                        <w:ind w:left="103" w:right="304"/>
                      </w:pPr>
                      <w:r>
                        <w:t xml:space="preserve">Hydroceles (fluid collection around the testicles) may be present at birth and are common, affecting around one male baby in every 10. They do not usually require treatment as they often </w:t>
                      </w:r>
                      <w:r w:rsidRPr="0002467A">
                        <w:t xml:space="preserve">resolve </w:t>
                      </w:r>
                      <w:r>
                        <w:t>on their own during the first 2 years of life. The CCG will fund treatment for hydroceles in children if they do not disappear by the age of 2.</w:t>
                      </w:r>
                    </w:p>
                    <w:p w14:paraId="763ED056" w14:textId="77777777" w:rsidR="001871DE" w:rsidRDefault="001871DE">
                      <w:pPr>
                        <w:pStyle w:val="BodyText"/>
                        <w:spacing w:before="3"/>
                        <w:rPr>
                          <w:b/>
                        </w:rPr>
                      </w:pPr>
                    </w:p>
                    <w:p w14:paraId="62CB77F0" w14:textId="77777777" w:rsidR="001871DE" w:rsidRDefault="001871DE">
                      <w:pPr>
                        <w:pStyle w:val="BodyText"/>
                        <w:ind w:left="103" w:right="585"/>
                      </w:pPr>
                      <w:r>
                        <w:t>Less commonly, hydroceles can develop in adult men</w:t>
                      </w:r>
                      <w:r w:rsidRPr="0002467A">
                        <w:t xml:space="preserve">, spontaneously, or </w:t>
                      </w:r>
                      <w:r>
                        <w:t>following infection and/or injury.  Hydroceles are</w:t>
                      </w:r>
                      <w:r w:rsidRPr="0070236B">
                        <w:rPr>
                          <w:color w:val="FF0000"/>
                        </w:rPr>
                        <w:t xml:space="preserve"> </w:t>
                      </w:r>
                      <w:r w:rsidRPr="0002467A">
                        <w:t xml:space="preserve">commonly </w:t>
                      </w:r>
                      <w:r>
                        <w:t>asymptomatic. Therefore, in adults treatment is not funded unless the hydrocele is causing significant symptoms.</w:t>
                      </w:r>
                    </w:p>
                  </w:txbxContent>
                </v:textbox>
                <w10:wrap type="topAndBottom" anchorx="page"/>
              </v:shape>
            </w:pict>
          </mc:Fallback>
        </mc:AlternateContent>
      </w:r>
      <w:r>
        <w:t>Rationale:</w:t>
      </w:r>
    </w:p>
    <w:p w14:paraId="5DCF2A41" w14:textId="0C7E1B64" w:rsidR="00052BE6" w:rsidRDefault="00052BE6">
      <w:pPr>
        <w:pStyle w:val="BodyText"/>
        <w:spacing w:before="3"/>
        <w:rPr>
          <w:b/>
          <w:sz w:val="23"/>
        </w:rPr>
      </w:pPr>
    </w:p>
    <w:p w14:paraId="6F94D93A" w14:textId="04B2F917" w:rsidR="00052BE6" w:rsidRDefault="004B0B58">
      <w:pPr>
        <w:pStyle w:val="Heading1"/>
      </w:pPr>
      <w:r>
        <w:rPr>
          <w:noProof/>
          <w:lang w:val="en-GB" w:eastAsia="en-GB"/>
        </w:rPr>
        <mc:AlternateContent>
          <mc:Choice Requires="wps">
            <w:drawing>
              <wp:anchor distT="0" distB="0" distL="0" distR="0" simplePos="0" relativeHeight="251657728" behindDoc="0" locked="0" layoutInCell="1" allowOverlap="1" wp14:anchorId="287179BD" wp14:editId="353F625B">
                <wp:simplePos x="0" y="0"/>
                <wp:positionH relativeFrom="page">
                  <wp:posOffset>847725</wp:posOffset>
                </wp:positionH>
                <wp:positionV relativeFrom="paragraph">
                  <wp:posOffset>188595</wp:posOffset>
                </wp:positionV>
                <wp:extent cx="5886450" cy="2371725"/>
                <wp:effectExtent l="0" t="0" r="19050" b="2857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3717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5F0CB1" w14:textId="77777777" w:rsidR="001871DE" w:rsidRDefault="001871DE" w:rsidP="0002467A">
                            <w:pPr>
                              <w:pStyle w:val="BodyText"/>
                              <w:ind w:left="103" w:right="219"/>
                              <w:jc w:val="both"/>
                            </w:pPr>
                            <w:r>
                              <w:t>Hydroceles are swellings caused by a build-up of fluid around the testicle. A hydrocele results in a (usually) painless, swollen scrotum, on one or both sides, that feels like a water- filled balloon. Hydroceles are not usually dangerous and therefore treatment is not always medically necessary.</w:t>
                            </w:r>
                          </w:p>
                          <w:p w14:paraId="6976C2E2" w14:textId="77777777" w:rsidR="001871DE" w:rsidRDefault="001871DE" w:rsidP="0002467A">
                            <w:pPr>
                              <w:pStyle w:val="BodyText"/>
                              <w:spacing w:before="1"/>
                              <w:jc w:val="both"/>
                              <w:rPr>
                                <w:b/>
                              </w:rPr>
                            </w:pPr>
                          </w:p>
                          <w:p w14:paraId="0C1F371D" w14:textId="77777777" w:rsidR="001871DE" w:rsidRDefault="001871DE" w:rsidP="0002467A">
                            <w:pPr>
                              <w:pStyle w:val="BodyText"/>
                              <w:ind w:left="103" w:right="133"/>
                              <w:jc w:val="both"/>
                            </w:pPr>
                            <w:r>
                              <w:t xml:space="preserve">Hydroceles are common in babies, affecting up to one in ten male babies. However, </w:t>
                            </w:r>
                            <w:r w:rsidR="009C01BE">
                              <w:t>they will</w:t>
                            </w:r>
                            <w:r>
                              <w:t xml:space="preserve"> often disappear without treatment before the age of two. Treatment is therefore not normally available for children under the age of 2. In children, where a hydrocele has not resolved itself by the age of two, the CCG will fund treatment if it is recommended by a specialist.</w:t>
                            </w:r>
                          </w:p>
                          <w:p w14:paraId="2492134D" w14:textId="77777777" w:rsidR="001871DE" w:rsidRDefault="001871DE" w:rsidP="0002467A">
                            <w:pPr>
                              <w:pStyle w:val="BodyText"/>
                              <w:spacing w:before="9"/>
                              <w:jc w:val="both"/>
                              <w:rPr>
                                <w:b/>
                                <w:sz w:val="21"/>
                              </w:rPr>
                            </w:pPr>
                          </w:p>
                          <w:p w14:paraId="12FB3A8E" w14:textId="21319957" w:rsidR="001871DE" w:rsidRPr="0002467A" w:rsidRDefault="001871DE" w:rsidP="0002467A">
                            <w:pPr>
                              <w:pStyle w:val="BodyText"/>
                              <w:ind w:left="103" w:right="120"/>
                              <w:jc w:val="both"/>
                            </w:pPr>
                            <w:r>
                              <w:t xml:space="preserve">As hydroceles are usually painless and they are not dangerous to health, it is not necessary to operate in all cases where hydroceles are </w:t>
                            </w:r>
                            <w:r w:rsidRPr="0002467A">
                              <w:t>present.</w:t>
                            </w:r>
                            <w:r>
                              <w:t xml:space="preserve"> </w:t>
                            </w:r>
                            <w:r w:rsidR="009C01BE">
                              <w:t>H</w:t>
                            </w:r>
                            <w:r>
                              <w:t xml:space="preserve">ydroceles diagnosed </w:t>
                            </w:r>
                            <w:r w:rsidRPr="0002467A">
                              <w:t>with</w:t>
                            </w:r>
                            <w:r w:rsidRPr="0070236B">
                              <w:rPr>
                                <w:color w:val="FF0000"/>
                              </w:rPr>
                              <w:t xml:space="preserve"> </w:t>
                            </w:r>
                            <w:r w:rsidRPr="0002467A">
                              <w:t>symptoms significantly impacting abili</w:t>
                            </w:r>
                            <w:r w:rsidR="00597A77" w:rsidRPr="0002467A">
                              <w:t xml:space="preserve">ty to work, perform educational and/or domestic </w:t>
                            </w:r>
                            <w:r w:rsidR="009C01BE">
                              <w:t>activities</w:t>
                            </w:r>
                            <w:r w:rsidR="009C01BE" w:rsidRPr="0002467A">
                              <w:t xml:space="preserve"> </w:t>
                            </w:r>
                            <w:r w:rsidR="00597A77" w:rsidRPr="0002467A">
                              <w:t xml:space="preserve">will be considered </w:t>
                            </w:r>
                            <w:r w:rsidR="006832C6">
                              <w:t>for surgery</w:t>
                            </w:r>
                            <w:r w:rsidR="00597A77" w:rsidRPr="0002467A">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179BD" id="Text Box 10" o:spid="_x0000_s1028" type="#_x0000_t202" style="position:absolute;left:0;text-align:left;margin-left:66.75pt;margin-top:14.85pt;width:463.5pt;height:186.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" filled="f" strokeweight=".16936mm">
                <v:textbox inset="0,0,0,0">
                  <w:txbxContent>
                    <w:p w14:paraId="505F0CB1" w14:textId="77777777" w:rsidR="001871DE" w:rsidRDefault="001871DE" w:rsidP="0002467A">
                      <w:pPr>
                        <w:pStyle w:val="BodyText"/>
                        <w:ind w:left="103" w:right="219"/>
                        <w:jc w:val="both"/>
                      </w:pPr>
                      <w:r>
                        <w:t>Hydroceles are swellings caused by a build-up of fluid around the testicle. A hydrocele results in a (usually) painless, swollen scrotum, on one or both sides, that feels like a water- filled balloon. Hydroceles are not usually dangerous and therefore treatment is not always medically necessary.</w:t>
                      </w:r>
                    </w:p>
                    <w:p w14:paraId="6976C2E2" w14:textId="77777777" w:rsidR="001871DE" w:rsidRDefault="001871DE" w:rsidP="0002467A">
                      <w:pPr>
                        <w:pStyle w:val="BodyText"/>
                        <w:spacing w:before="1"/>
                        <w:jc w:val="both"/>
                        <w:rPr>
                          <w:b/>
                        </w:rPr>
                      </w:pPr>
                    </w:p>
                    <w:p w14:paraId="0C1F371D" w14:textId="77777777" w:rsidR="001871DE" w:rsidRDefault="001871DE" w:rsidP="0002467A">
                      <w:pPr>
                        <w:pStyle w:val="BodyText"/>
                        <w:ind w:left="103" w:right="133"/>
                        <w:jc w:val="both"/>
                      </w:pPr>
                      <w:r>
                        <w:t xml:space="preserve">Hydroceles are common in babies, affecting up to one in ten male babies. However, </w:t>
                      </w:r>
                      <w:r w:rsidR="009C01BE">
                        <w:t>they will</w:t>
                      </w:r>
                      <w:r>
                        <w:t xml:space="preserve"> often disappear without treatment before the age of two. Treatment is therefore not normally available for children under the age of 2. In children, where a hydrocele has not resolved itself by the age of two, the CCG will fund treatment if it is recommended by a specialist.</w:t>
                      </w:r>
                    </w:p>
                    <w:p w14:paraId="2492134D" w14:textId="77777777" w:rsidR="001871DE" w:rsidRDefault="001871DE" w:rsidP="0002467A">
                      <w:pPr>
                        <w:pStyle w:val="BodyText"/>
                        <w:spacing w:before="9"/>
                        <w:jc w:val="both"/>
                        <w:rPr>
                          <w:b/>
                          <w:sz w:val="21"/>
                        </w:rPr>
                      </w:pPr>
                    </w:p>
                    <w:p w14:paraId="12FB3A8E" w14:textId="21319957" w:rsidR="001871DE" w:rsidRPr="0002467A" w:rsidRDefault="001871DE" w:rsidP="0002467A">
                      <w:pPr>
                        <w:pStyle w:val="BodyText"/>
                        <w:ind w:left="103" w:right="120"/>
                        <w:jc w:val="both"/>
                      </w:pPr>
                      <w:r>
                        <w:t xml:space="preserve">As hydroceles are usually painless and they are not dangerous to health, it is not necessary to operate in all cases where hydroceles are </w:t>
                      </w:r>
                      <w:r w:rsidRPr="0002467A">
                        <w:t>present.</w:t>
                      </w:r>
                      <w:r>
                        <w:t xml:space="preserve"> </w:t>
                      </w:r>
                      <w:r w:rsidR="009C01BE">
                        <w:t>H</w:t>
                      </w:r>
                      <w:r>
                        <w:t xml:space="preserve">ydroceles diagnosed </w:t>
                      </w:r>
                      <w:r w:rsidRPr="0002467A">
                        <w:t>with</w:t>
                      </w:r>
                      <w:r w:rsidRPr="0070236B">
                        <w:rPr>
                          <w:color w:val="FF0000"/>
                        </w:rPr>
                        <w:t xml:space="preserve"> </w:t>
                      </w:r>
                      <w:r w:rsidRPr="0002467A">
                        <w:t>symptoms significantly impacting abili</w:t>
                      </w:r>
                      <w:r w:rsidR="00597A77" w:rsidRPr="0002467A">
                        <w:t xml:space="preserve">ty to work, perform educational and/or domestic </w:t>
                      </w:r>
                      <w:r w:rsidR="009C01BE">
                        <w:t>activities</w:t>
                      </w:r>
                      <w:r w:rsidR="009C01BE" w:rsidRPr="0002467A">
                        <w:t xml:space="preserve"> </w:t>
                      </w:r>
                      <w:r w:rsidR="00597A77" w:rsidRPr="0002467A">
                        <w:t xml:space="preserve">will be considered </w:t>
                      </w:r>
                      <w:r w:rsidR="006832C6">
                        <w:t>for surgery</w:t>
                      </w:r>
                      <w:r w:rsidR="00597A77" w:rsidRPr="0002467A">
                        <w:t xml:space="preserve">. </w:t>
                      </w:r>
                    </w:p>
                  </w:txbxContent>
                </v:textbox>
                <w10:wrap type="topAndBottom" anchorx="page"/>
              </v:shape>
            </w:pict>
          </mc:Fallback>
        </mc:AlternateContent>
      </w:r>
      <w:r w:rsidR="00C41869">
        <w:t>Plain English Summary:</w:t>
      </w:r>
    </w:p>
    <w:p w14:paraId="3C5E6933" w14:textId="77777777" w:rsidR="00052BE6" w:rsidRDefault="00052BE6">
      <w:pPr>
        <w:sectPr w:rsidR="00052BE6">
          <w:headerReference w:type="default" r:id="rId8"/>
          <w:footerReference w:type="default" r:id="rId9"/>
          <w:type w:val="continuous"/>
          <w:pgSz w:w="11920" w:h="16850"/>
          <w:pgMar w:top="1540" w:right="40" w:bottom="1180" w:left="320" w:header="418" w:footer="991" w:gutter="0"/>
          <w:pgNumType w:start="1"/>
          <w:cols w:space="720"/>
        </w:sectPr>
      </w:pPr>
    </w:p>
    <w:p w14:paraId="0CF6AF5C" w14:textId="77777777" w:rsidR="00052BE6" w:rsidRDefault="00C41869">
      <w:pPr>
        <w:pStyle w:val="BodyText"/>
        <w:rPr>
          <w:b/>
          <w:sz w:val="20"/>
        </w:rPr>
      </w:pPr>
      <w:r>
        <w:rPr>
          <w:noProof/>
          <w:lang w:val="en-GB" w:eastAsia="en-GB"/>
        </w:rPr>
        <w:lastRenderedPageBreak/>
        <mc:AlternateContent>
          <mc:Choice Requires="wpg">
            <w:drawing>
              <wp:anchor distT="0" distB="0" distL="114300" distR="114300" simplePos="0" relativeHeight="251661824" behindDoc="0" locked="0" layoutInCell="1" allowOverlap="1" wp14:anchorId="5ED1594F" wp14:editId="076993A6">
                <wp:simplePos x="0" y="0"/>
                <wp:positionH relativeFrom="margin">
                  <wp:posOffset>44450</wp:posOffset>
                </wp:positionH>
                <wp:positionV relativeFrom="page">
                  <wp:posOffset>152401</wp:posOffset>
                </wp:positionV>
                <wp:extent cx="6581775" cy="1504950"/>
                <wp:effectExtent l="0" t="0" r="28575" b="3810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504950"/>
                          <a:chOff x="828" y="286"/>
                          <a:chExt cx="19301" cy="3010"/>
                        </a:xfrm>
                      </wpg:grpSpPr>
                      <wps:wsp>
                        <wps:cNvPr id="11" name="Text Box 4"/>
                        <wps:cNvSpPr txBox="1">
                          <a:spLocks noChangeArrowheads="1"/>
                        </wps:cNvSpPr>
                        <wps:spPr bwMode="auto">
                          <a:xfrm>
                            <a:off x="2450" y="1777"/>
                            <a:ext cx="17602" cy="1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17EA" w14:textId="77777777" w:rsidR="001871DE" w:rsidRDefault="001871DE">
                              <w:pPr>
                                <w:spacing w:before="9"/>
                                <w:rPr>
                                  <w:b/>
                                  <w:sz w:val="21"/>
                                </w:rPr>
                              </w:pPr>
                            </w:p>
                            <w:p w14:paraId="254835AA" w14:textId="69447228" w:rsidR="001871DE" w:rsidRDefault="001871DE" w:rsidP="0002467A">
                              <w:pPr>
                                <w:ind w:left="108" w:right="189"/>
                                <w:jc w:val="both"/>
                              </w:pPr>
                              <w:r>
                                <w:t xml:space="preserve">If </w:t>
                              </w:r>
                              <w:r w:rsidRPr="0002467A">
                                <w:t>y</w:t>
                              </w:r>
                              <w:r w:rsidR="00597A77" w:rsidRPr="0002467A">
                                <w:t xml:space="preserve">our </w:t>
                              </w:r>
                              <w:r w:rsidR="000C3F8E">
                                <w:t>doctor</w:t>
                              </w:r>
                              <w:r w:rsidRPr="0002467A">
                                <w:t xml:space="preserve"> </w:t>
                              </w:r>
                              <w:r>
                                <w:t xml:space="preserve">believes that you meet the criteria set out in this </w:t>
                              </w:r>
                              <w:r w:rsidR="009C01BE">
                                <w:t>policy</w:t>
                              </w:r>
                              <w:r w:rsidR="000C3F8E">
                                <w:t xml:space="preserve"> the CCG will fund your treatment.</w:t>
                              </w:r>
                            </w:p>
                          </w:txbxContent>
                        </wps:txbx>
                        <wps:bodyPr rot="0" vert="horz" wrap="square" lIns="0" tIns="0" rIns="0" bIns="0" anchor="t" anchorCtr="0" upright="1">
                          <a:noAutofit/>
                        </wps:bodyPr>
                      </wps:wsp>
                      <wps:wsp>
                        <wps:cNvPr id="6" name="Rectangle 9"/>
                        <wps:cNvSpPr>
                          <a:spLocks noChangeArrowheads="1"/>
                        </wps:cNvSpPr>
                        <wps:spPr bwMode="auto">
                          <a:xfrm>
                            <a:off x="828" y="286"/>
                            <a:ext cx="7912" cy="1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8"/>
                        <wps:cNvCnPr/>
                        <wps:spPr bwMode="auto">
                          <a:xfrm>
                            <a:off x="2546" y="1762"/>
                            <a:ext cx="175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wps:spPr bwMode="auto">
                          <a:xfrm>
                            <a:off x="2536" y="1757"/>
                            <a:ext cx="0" cy="15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wps:spPr bwMode="auto">
                          <a:xfrm>
                            <a:off x="2546" y="3291"/>
                            <a:ext cx="175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20088" y="1757"/>
                            <a:ext cx="0" cy="15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D1594F" id="Group 3" o:spid="_x0000_s1029" style="position:absolute;margin-left:3.5pt;margin-top:12pt;width:518.25pt;height:118.5pt;z-index:251661824;mso-position-horizontal-relative:margin;mso-position-vertical-relative:page" coordorigin="828,286" coordsize="1930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">
                <v:shape id="Text Box 4" o:spid="_x0000_s1030" type="#_x0000_t202" style="position:absolute;left:2450;top:1777;width:17602;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ADE17EA" w14:textId="77777777" w:rsidR="001871DE" w:rsidRDefault="001871DE">
                        <w:pPr>
                          <w:spacing w:before="9"/>
                          <w:rPr>
                            <w:b/>
                            <w:sz w:val="21"/>
                          </w:rPr>
                        </w:pPr>
                      </w:p>
                      <w:p w14:paraId="254835AA" w14:textId="69447228" w:rsidR="001871DE" w:rsidRDefault="001871DE" w:rsidP="0002467A">
                        <w:pPr>
                          <w:ind w:left="108" w:right="189"/>
                          <w:jc w:val="both"/>
                        </w:pPr>
                        <w:r>
                          <w:t xml:space="preserve">If </w:t>
                        </w:r>
                        <w:r w:rsidRPr="0002467A">
                          <w:t>y</w:t>
                        </w:r>
                        <w:r w:rsidR="00597A77" w:rsidRPr="0002467A">
                          <w:t xml:space="preserve">our </w:t>
                        </w:r>
                        <w:r w:rsidR="000C3F8E">
                          <w:t>doctor</w:t>
                        </w:r>
                        <w:r w:rsidRPr="0002467A">
                          <w:t xml:space="preserve"> </w:t>
                        </w:r>
                        <w:r>
                          <w:t xml:space="preserve">believes that you meet the criteria set out in this </w:t>
                        </w:r>
                        <w:r w:rsidR="009C01BE">
                          <w:t>policy</w:t>
                        </w:r>
                        <w:r w:rsidR="000C3F8E">
                          <w:t xml:space="preserve"> the CCG will fund your treatment.</w:t>
                        </w:r>
                      </w:p>
                    </w:txbxContent>
                  </v:textbox>
                </v:shape>
                <v:rect id="Rectangle 9" o:spid="_x0000_s1031" style="position:absolute;left:828;top:286;width:791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line id="Line 8" o:spid="_x0000_s1032" style="position:absolute;visibility:visible;mso-wrap-style:square" from="2546,1762" to="20129,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7" o:spid="_x0000_s1033" style="position:absolute;visibility:visible;mso-wrap-style:square" from="2536,1757" to="2536,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4" style="position:absolute;visibility:visible;mso-wrap-style:square" from="2546,3291" to="20129,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35" style="position:absolute;visibility:visible;mso-wrap-style:square" from="20088,1757" to="20088,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margin" anchory="page"/>
              </v:group>
            </w:pict>
          </mc:Fallback>
        </mc:AlternateContent>
      </w:r>
    </w:p>
    <w:p w14:paraId="6EB20A20" w14:textId="77777777" w:rsidR="00052BE6" w:rsidRDefault="00052BE6">
      <w:pPr>
        <w:pStyle w:val="BodyText"/>
        <w:rPr>
          <w:b/>
          <w:sz w:val="20"/>
        </w:rPr>
      </w:pPr>
    </w:p>
    <w:p w14:paraId="3F3B662F" w14:textId="77777777" w:rsidR="00052BE6" w:rsidRDefault="00052BE6">
      <w:pPr>
        <w:pStyle w:val="BodyText"/>
        <w:rPr>
          <w:b/>
          <w:sz w:val="20"/>
        </w:rPr>
      </w:pPr>
    </w:p>
    <w:p w14:paraId="64CBFCF4" w14:textId="77777777" w:rsidR="00052BE6" w:rsidRDefault="00052BE6">
      <w:pPr>
        <w:pStyle w:val="BodyText"/>
        <w:rPr>
          <w:b/>
          <w:sz w:val="20"/>
        </w:rPr>
      </w:pPr>
    </w:p>
    <w:p w14:paraId="00B3FB5B" w14:textId="77777777" w:rsidR="00052BE6" w:rsidRDefault="00052BE6">
      <w:pPr>
        <w:pStyle w:val="BodyText"/>
        <w:rPr>
          <w:b/>
          <w:sz w:val="20"/>
        </w:rPr>
      </w:pPr>
    </w:p>
    <w:p w14:paraId="34028CAF" w14:textId="77777777" w:rsidR="00052BE6" w:rsidRDefault="00052BE6">
      <w:pPr>
        <w:pStyle w:val="BodyText"/>
        <w:rPr>
          <w:b/>
          <w:sz w:val="20"/>
        </w:rPr>
      </w:pPr>
    </w:p>
    <w:p w14:paraId="60DBF13F" w14:textId="77777777" w:rsidR="00052BE6" w:rsidRDefault="00E97808">
      <w:pPr>
        <w:pStyle w:val="Heading1"/>
        <w:spacing w:before="208"/>
      </w:pPr>
      <w:r>
        <w:rPr>
          <w:noProof/>
          <w:lang w:val="en-GB" w:eastAsia="en-GB"/>
        </w:rPr>
        <mc:AlternateContent>
          <mc:Choice Requires="wps">
            <w:drawing>
              <wp:anchor distT="0" distB="0" distL="0" distR="0" simplePos="0" relativeHeight="251658752" behindDoc="0" locked="0" layoutInCell="1" allowOverlap="1" wp14:anchorId="04F434D1" wp14:editId="0D8BBA7E">
                <wp:simplePos x="0" y="0"/>
                <wp:positionH relativeFrom="margin">
                  <wp:align>right</wp:align>
                </wp:positionH>
                <wp:positionV relativeFrom="paragraph">
                  <wp:posOffset>307975</wp:posOffset>
                </wp:positionV>
                <wp:extent cx="5905500" cy="1038225"/>
                <wp:effectExtent l="0" t="0" r="19050"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382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A240DF" w14:textId="77777777" w:rsidR="001871DE" w:rsidRDefault="001871DE">
                            <w:pPr>
                              <w:pStyle w:val="BodyText"/>
                              <w:spacing w:before="55"/>
                              <w:ind w:left="103" w:right="476"/>
                            </w:pPr>
                            <w:r>
                              <w:t xml:space="preserve">Similarity to neighbouring CCG policies – </w:t>
                            </w:r>
                            <w:r w:rsidR="0070236B">
                              <w:t>Bristol, North Somerset and South Gloucestershire</w:t>
                            </w:r>
                            <w:r>
                              <w:t xml:space="preserve"> CCG</w:t>
                            </w:r>
                            <w:r w:rsidR="0070236B">
                              <w:t>.</w:t>
                            </w:r>
                          </w:p>
                          <w:p w14:paraId="7C9F750A" w14:textId="77777777" w:rsidR="002F7ED5" w:rsidRPr="0002467A" w:rsidRDefault="002F7ED5">
                            <w:pPr>
                              <w:pStyle w:val="BodyText"/>
                              <w:spacing w:before="55"/>
                              <w:ind w:left="103" w:right="476"/>
                            </w:pPr>
                            <w:r w:rsidRPr="0002467A">
                              <w:t>Bath and NE Somerset, Swindon and Wiltshire CCG</w:t>
                            </w:r>
                          </w:p>
                          <w:p w14:paraId="0C59EC29" w14:textId="77777777" w:rsidR="001871DE" w:rsidRDefault="001871DE">
                            <w:pPr>
                              <w:pStyle w:val="BodyText"/>
                              <w:spacing w:before="3"/>
                              <w:rPr>
                                <w:b/>
                                <w:sz w:val="29"/>
                              </w:rPr>
                            </w:pPr>
                          </w:p>
                          <w:p w14:paraId="70C5872E" w14:textId="77777777" w:rsidR="001871DE" w:rsidRDefault="00652280">
                            <w:pPr>
                              <w:pStyle w:val="BodyText"/>
                              <w:ind w:left="103"/>
                              <w:rPr>
                                <w:color w:val="0000FF"/>
                                <w:u w:val="single" w:color="0000FF"/>
                              </w:rPr>
                            </w:pPr>
                            <w:r w:rsidRPr="00E97808">
                              <w:t>1</w:t>
                            </w:r>
                            <w:r>
                              <w:t>.</w:t>
                            </w:r>
                            <w:r w:rsidR="001871DE">
                              <w:t xml:space="preserve">NHS Clinical Knowledge Summaries, </w:t>
                            </w:r>
                            <w:hyperlink r:id="rId10">
                              <w:r w:rsidR="001871DE">
                                <w:rPr>
                                  <w:color w:val="0000FF"/>
                                  <w:u w:val="single" w:color="0000FF"/>
                                </w:rPr>
                                <w:t>http://www.cks.nhs.uk/</w:t>
                              </w:r>
                            </w:hyperlink>
                          </w:p>
                          <w:p w14:paraId="64DFE8F1" w14:textId="77777777" w:rsidR="00652280" w:rsidRPr="00652280" w:rsidRDefault="00652280">
                            <w:pPr>
                              <w:pStyle w:val="BodyText"/>
                              <w:ind w:left="10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34D1" id="Text Box 2" o:spid="_x0000_s1036" type="#_x0000_t202" style="position:absolute;left:0;text-align:left;margin-left:413.8pt;margin-top:24.25pt;width:465pt;height:81.75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" filled="f" strokeweight=".48pt">
                <v:textbox inset="0,0,0,0">
                  <w:txbxContent>
                    <w:p w14:paraId="45A240DF" w14:textId="77777777" w:rsidR="001871DE" w:rsidRDefault="001871DE">
                      <w:pPr>
                        <w:pStyle w:val="BodyText"/>
                        <w:spacing w:before="55"/>
                        <w:ind w:left="103" w:right="476"/>
                      </w:pPr>
                      <w:r>
                        <w:t xml:space="preserve">Similarity to neighbouring CCG policies – </w:t>
                      </w:r>
                      <w:r w:rsidR="0070236B">
                        <w:t>Bristol, North Somerset and South Gloucestershire</w:t>
                      </w:r>
                      <w:r>
                        <w:t xml:space="preserve"> CCG</w:t>
                      </w:r>
                      <w:r w:rsidR="0070236B">
                        <w:t>.</w:t>
                      </w:r>
                    </w:p>
                    <w:p w14:paraId="7C9F750A" w14:textId="77777777" w:rsidR="002F7ED5" w:rsidRPr="0002467A" w:rsidRDefault="002F7ED5">
                      <w:pPr>
                        <w:pStyle w:val="BodyText"/>
                        <w:spacing w:before="55"/>
                        <w:ind w:left="103" w:right="476"/>
                      </w:pPr>
                      <w:r w:rsidRPr="0002467A">
                        <w:t>Bath and NE Somerset, Swindon and Wiltshire CCG</w:t>
                      </w:r>
                    </w:p>
                    <w:p w14:paraId="0C59EC29" w14:textId="77777777" w:rsidR="001871DE" w:rsidRDefault="001871DE">
                      <w:pPr>
                        <w:pStyle w:val="BodyText"/>
                        <w:spacing w:before="3"/>
                        <w:rPr>
                          <w:b/>
                          <w:sz w:val="29"/>
                        </w:rPr>
                      </w:pPr>
                    </w:p>
                    <w:p w14:paraId="70C5872E" w14:textId="77777777" w:rsidR="001871DE" w:rsidRDefault="00652280">
                      <w:pPr>
                        <w:pStyle w:val="BodyText"/>
                        <w:ind w:left="103"/>
                        <w:rPr>
                          <w:color w:val="0000FF"/>
                          <w:u w:val="single" w:color="0000FF"/>
                        </w:rPr>
                      </w:pPr>
                      <w:r w:rsidRPr="00E97808">
                        <w:t>1</w:t>
                      </w:r>
                      <w:r>
                        <w:t>.</w:t>
                      </w:r>
                      <w:r w:rsidR="001871DE">
                        <w:t xml:space="preserve">NHS Clinical Knowledge Summaries, </w:t>
                      </w:r>
                      <w:hyperlink r:id="rId11">
                        <w:r w:rsidR="001871DE">
                          <w:rPr>
                            <w:color w:val="0000FF"/>
                            <w:u w:val="single" w:color="0000FF"/>
                          </w:rPr>
                          <w:t>http://www.cks.nhs.uk/</w:t>
                        </w:r>
                      </w:hyperlink>
                    </w:p>
                    <w:p w14:paraId="64DFE8F1" w14:textId="77777777" w:rsidR="00652280" w:rsidRPr="00652280" w:rsidRDefault="00652280">
                      <w:pPr>
                        <w:pStyle w:val="BodyText"/>
                        <w:ind w:left="103"/>
                        <w:rPr>
                          <w:color w:val="FF0000"/>
                        </w:rPr>
                      </w:pPr>
                    </w:p>
                  </w:txbxContent>
                </v:textbox>
                <w10:wrap type="topAndBottom" anchorx="margin"/>
              </v:shape>
            </w:pict>
          </mc:Fallback>
        </mc:AlternateContent>
      </w:r>
      <w:r w:rsidR="00C41869">
        <w:t>Evidence base:</w:t>
      </w:r>
    </w:p>
    <w:p w14:paraId="70C2F402" w14:textId="77777777" w:rsidR="00052BE6" w:rsidRDefault="00052BE6">
      <w:pPr>
        <w:pStyle w:val="BodyText"/>
        <w:spacing w:before="5"/>
        <w:rPr>
          <w:b/>
          <w:sz w:val="23"/>
        </w:rPr>
      </w:pPr>
    </w:p>
    <w:p w14:paraId="0217EB77" w14:textId="77777777" w:rsidR="00052BE6" w:rsidRPr="00D62032" w:rsidRDefault="00C41869">
      <w:pPr>
        <w:ind w:left="1120"/>
      </w:pPr>
      <w:r w:rsidRPr="00D62032">
        <w:t>Link to application form – Not applicable</w:t>
      </w:r>
    </w:p>
    <w:p w14:paraId="6AB0D5B9" w14:textId="77777777" w:rsidR="00052BE6" w:rsidRDefault="00C41869">
      <w:pPr>
        <w:spacing w:before="40"/>
        <w:ind w:left="1120"/>
        <w:rPr>
          <w:sz w:val="24"/>
        </w:rPr>
      </w:pPr>
      <w:r w:rsidRPr="00D62032">
        <w:t>For further information please contact</w:t>
      </w:r>
      <w:r>
        <w:rPr>
          <w:sz w:val="24"/>
        </w:rPr>
        <w:t xml:space="preserve"> </w:t>
      </w:r>
      <w:hyperlink r:id="rId12">
        <w:r>
          <w:rPr>
            <w:color w:val="0000FF"/>
            <w:sz w:val="24"/>
            <w:u w:val="single" w:color="0000FF"/>
          </w:rPr>
          <w:t>GLCCG.IFR@nhs.net</w:t>
        </w:r>
      </w:hyperlink>
    </w:p>
    <w:p w14:paraId="1D03FB78" w14:textId="77777777" w:rsidR="00052BE6" w:rsidRDefault="00052BE6">
      <w:pPr>
        <w:pStyle w:val="BodyText"/>
        <w:rPr>
          <w:sz w:val="20"/>
        </w:rPr>
      </w:pPr>
    </w:p>
    <w:p w14:paraId="3CD2EC3B" w14:textId="77777777" w:rsidR="00052BE6" w:rsidRDefault="00052BE6">
      <w:pPr>
        <w:pStyle w:val="BodyText"/>
        <w:spacing w:before="5"/>
        <w:rPr>
          <w:sz w:val="11"/>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7"/>
        <w:gridCol w:w="6827"/>
      </w:tblGrid>
      <w:tr w:rsidR="00052BE6" w14:paraId="13F6D848" w14:textId="77777777" w:rsidTr="000A5B87">
        <w:trPr>
          <w:trHeight w:hRule="exact" w:val="264"/>
        </w:trPr>
        <w:tc>
          <w:tcPr>
            <w:tcW w:w="2387" w:type="dxa"/>
          </w:tcPr>
          <w:p w14:paraId="02BD71C6" w14:textId="77777777" w:rsidR="00052BE6" w:rsidRDefault="00C41869">
            <w:pPr>
              <w:pStyle w:val="TableParagraph"/>
              <w:rPr>
                <w:b/>
              </w:rPr>
            </w:pPr>
            <w:r>
              <w:rPr>
                <w:b/>
              </w:rPr>
              <w:t>Date of publication</w:t>
            </w:r>
          </w:p>
        </w:tc>
        <w:tc>
          <w:tcPr>
            <w:tcW w:w="6827" w:type="dxa"/>
          </w:tcPr>
          <w:p w14:paraId="38C26058" w14:textId="77777777" w:rsidR="00052BE6" w:rsidRDefault="00C41869">
            <w:pPr>
              <w:pStyle w:val="TableParagraph"/>
            </w:pPr>
            <w:r>
              <w:t>4</w:t>
            </w:r>
            <w:proofErr w:type="spellStart"/>
            <w:r>
              <w:rPr>
                <w:position w:val="10"/>
                <w:sz w:val="14"/>
              </w:rPr>
              <w:t>th</w:t>
            </w:r>
            <w:proofErr w:type="spellEnd"/>
            <w:r>
              <w:rPr>
                <w:position w:val="10"/>
                <w:sz w:val="14"/>
              </w:rPr>
              <w:t xml:space="preserve"> </w:t>
            </w:r>
            <w:r>
              <w:t>April 2016</w:t>
            </w:r>
          </w:p>
        </w:tc>
      </w:tr>
      <w:tr w:rsidR="00052BE6" w14:paraId="44F631C7" w14:textId="77777777" w:rsidTr="000A5B87">
        <w:trPr>
          <w:trHeight w:hRule="exact" w:val="264"/>
        </w:trPr>
        <w:tc>
          <w:tcPr>
            <w:tcW w:w="2387" w:type="dxa"/>
          </w:tcPr>
          <w:p w14:paraId="7FD3F122" w14:textId="77777777" w:rsidR="00052BE6" w:rsidRDefault="00C41869">
            <w:pPr>
              <w:pStyle w:val="TableParagraph"/>
              <w:rPr>
                <w:b/>
              </w:rPr>
            </w:pPr>
            <w:r>
              <w:rPr>
                <w:b/>
              </w:rPr>
              <w:t>Policy review date</w:t>
            </w:r>
          </w:p>
        </w:tc>
        <w:tc>
          <w:tcPr>
            <w:tcW w:w="6827" w:type="dxa"/>
          </w:tcPr>
          <w:p w14:paraId="00D6A14A" w14:textId="77777777" w:rsidR="00052BE6" w:rsidRDefault="009C01BE">
            <w:pPr>
              <w:pStyle w:val="TableParagraph"/>
            </w:pPr>
            <w:r>
              <w:t xml:space="preserve">September </w:t>
            </w:r>
            <w:r w:rsidR="00C41869">
              <w:t>202</w:t>
            </w:r>
            <w:r>
              <w:t>4</w:t>
            </w:r>
          </w:p>
        </w:tc>
      </w:tr>
    </w:tbl>
    <w:p w14:paraId="33E08B57" w14:textId="77777777" w:rsidR="00052BE6" w:rsidRDefault="00052BE6">
      <w:pPr>
        <w:pStyle w:val="BodyText"/>
        <w:spacing w:before="11"/>
        <w:rPr>
          <w:sz w:val="26"/>
        </w:rPr>
      </w:pPr>
    </w:p>
    <w:p w14:paraId="484E6B10" w14:textId="7224534A" w:rsidR="00052BE6" w:rsidRDefault="00C41869">
      <w:pPr>
        <w:spacing w:after="45"/>
        <w:ind w:left="1120"/>
        <w:rPr>
          <w:b/>
          <w:sz w:val="24"/>
        </w:rPr>
      </w:pPr>
      <w:r>
        <w:rPr>
          <w:b/>
          <w:sz w:val="24"/>
        </w:rPr>
        <w:t>Consultation</w:t>
      </w:r>
      <w:r w:rsidR="000A5B87">
        <w:rPr>
          <w:b/>
          <w:sz w:val="24"/>
        </w:rPr>
        <w:t>:</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91"/>
        <w:gridCol w:w="3423"/>
      </w:tblGrid>
      <w:tr w:rsidR="00052BE6" w14:paraId="73DC3F24" w14:textId="77777777" w:rsidTr="000A5B87">
        <w:trPr>
          <w:trHeight w:hRule="exact" w:val="264"/>
        </w:trPr>
        <w:tc>
          <w:tcPr>
            <w:tcW w:w="5791" w:type="dxa"/>
          </w:tcPr>
          <w:p w14:paraId="036E1238" w14:textId="77777777" w:rsidR="00052BE6" w:rsidRDefault="00C41869">
            <w:pPr>
              <w:pStyle w:val="TableParagraph"/>
              <w:spacing w:line="248" w:lineRule="exact"/>
              <w:rPr>
                <w:b/>
              </w:rPr>
            </w:pPr>
            <w:r>
              <w:rPr>
                <w:b/>
              </w:rPr>
              <w:t>Consultee</w:t>
            </w:r>
          </w:p>
        </w:tc>
        <w:tc>
          <w:tcPr>
            <w:tcW w:w="3423" w:type="dxa"/>
          </w:tcPr>
          <w:p w14:paraId="30BD93CF" w14:textId="77777777" w:rsidR="00052BE6" w:rsidRDefault="00C41869">
            <w:pPr>
              <w:pStyle w:val="TableParagraph"/>
              <w:spacing w:line="248" w:lineRule="exact"/>
              <w:rPr>
                <w:b/>
              </w:rPr>
            </w:pPr>
            <w:r>
              <w:rPr>
                <w:b/>
              </w:rPr>
              <w:t>Date</w:t>
            </w:r>
          </w:p>
        </w:tc>
      </w:tr>
      <w:tr w:rsidR="00052BE6" w14:paraId="330956E2" w14:textId="77777777" w:rsidTr="000A5B87">
        <w:trPr>
          <w:trHeight w:hRule="exact" w:val="264"/>
        </w:trPr>
        <w:tc>
          <w:tcPr>
            <w:tcW w:w="5791" w:type="dxa"/>
          </w:tcPr>
          <w:p w14:paraId="636F4B33" w14:textId="77777777" w:rsidR="00052BE6" w:rsidRDefault="00C41869">
            <w:pPr>
              <w:pStyle w:val="TableParagraph"/>
              <w:spacing w:line="248" w:lineRule="exact"/>
            </w:pPr>
            <w:r>
              <w:t>Planned Care Programme Board</w:t>
            </w:r>
          </w:p>
        </w:tc>
        <w:tc>
          <w:tcPr>
            <w:tcW w:w="3423" w:type="dxa"/>
          </w:tcPr>
          <w:p w14:paraId="3FA4DEEF" w14:textId="77777777" w:rsidR="00052BE6" w:rsidRDefault="00C41869">
            <w:pPr>
              <w:pStyle w:val="TableParagraph"/>
              <w:spacing w:line="248" w:lineRule="exact"/>
            </w:pPr>
            <w:r>
              <w:t>July 2015</w:t>
            </w:r>
          </w:p>
        </w:tc>
      </w:tr>
      <w:tr w:rsidR="00052BE6" w14:paraId="223C9FC1" w14:textId="77777777" w:rsidTr="000A5B87">
        <w:trPr>
          <w:trHeight w:hRule="exact" w:val="264"/>
        </w:trPr>
        <w:tc>
          <w:tcPr>
            <w:tcW w:w="5791" w:type="dxa"/>
          </w:tcPr>
          <w:p w14:paraId="0856F0B3" w14:textId="77777777" w:rsidR="00052BE6" w:rsidRDefault="00C41869">
            <w:pPr>
              <w:pStyle w:val="TableParagraph"/>
            </w:pPr>
            <w:r>
              <w:t>GHNHSFT Leads</w:t>
            </w:r>
          </w:p>
        </w:tc>
        <w:tc>
          <w:tcPr>
            <w:tcW w:w="3423" w:type="dxa"/>
          </w:tcPr>
          <w:p w14:paraId="0A5CB947" w14:textId="77777777" w:rsidR="00052BE6" w:rsidRDefault="00C41869">
            <w:pPr>
              <w:pStyle w:val="TableParagraph"/>
            </w:pPr>
            <w:r>
              <w:t>May/June 2015</w:t>
            </w:r>
          </w:p>
        </w:tc>
      </w:tr>
      <w:tr w:rsidR="00052BE6" w14:paraId="015255AC" w14:textId="77777777" w:rsidTr="000A5B87">
        <w:trPr>
          <w:trHeight w:hRule="exact" w:val="262"/>
        </w:trPr>
        <w:tc>
          <w:tcPr>
            <w:tcW w:w="5791" w:type="dxa"/>
          </w:tcPr>
          <w:p w14:paraId="0AC9631E" w14:textId="77777777" w:rsidR="00052BE6" w:rsidRDefault="00C41869">
            <w:pPr>
              <w:pStyle w:val="TableParagraph"/>
            </w:pPr>
            <w:r>
              <w:t>GP Membership (via What’s New This Week)</w:t>
            </w:r>
          </w:p>
        </w:tc>
        <w:tc>
          <w:tcPr>
            <w:tcW w:w="3423" w:type="dxa"/>
          </w:tcPr>
          <w:p w14:paraId="6AEC2B9F" w14:textId="77777777" w:rsidR="00052BE6" w:rsidRDefault="00C41869">
            <w:pPr>
              <w:pStyle w:val="TableParagraph"/>
            </w:pPr>
            <w:r>
              <w:t>July/August 2015</w:t>
            </w:r>
          </w:p>
        </w:tc>
      </w:tr>
      <w:tr w:rsidR="00052BE6" w14:paraId="12A0FE9C" w14:textId="77777777" w:rsidTr="000A5B87">
        <w:trPr>
          <w:trHeight w:hRule="exact" w:val="264"/>
        </w:trPr>
        <w:tc>
          <w:tcPr>
            <w:tcW w:w="5791" w:type="dxa"/>
            <w:shd w:val="clear" w:color="auto" w:fill="C4BA94"/>
          </w:tcPr>
          <w:p w14:paraId="4EAD51F8" w14:textId="77777777" w:rsidR="00052BE6" w:rsidRDefault="00052BE6"/>
        </w:tc>
        <w:tc>
          <w:tcPr>
            <w:tcW w:w="3423" w:type="dxa"/>
            <w:shd w:val="clear" w:color="auto" w:fill="C4BA94"/>
          </w:tcPr>
          <w:p w14:paraId="6A2E708F" w14:textId="77777777" w:rsidR="00052BE6" w:rsidRDefault="00052BE6"/>
        </w:tc>
      </w:tr>
      <w:tr w:rsidR="00052BE6" w14:paraId="548664FF" w14:textId="77777777" w:rsidTr="000A5B87">
        <w:trPr>
          <w:trHeight w:hRule="exact" w:val="264"/>
        </w:trPr>
        <w:tc>
          <w:tcPr>
            <w:tcW w:w="5791" w:type="dxa"/>
          </w:tcPr>
          <w:p w14:paraId="45546649" w14:textId="77777777" w:rsidR="00052BE6" w:rsidRDefault="00C41869">
            <w:pPr>
              <w:pStyle w:val="TableParagraph"/>
            </w:pPr>
            <w:r>
              <w:t>Has the consultation included patient representatives?</w:t>
            </w:r>
          </w:p>
        </w:tc>
        <w:tc>
          <w:tcPr>
            <w:tcW w:w="3423" w:type="dxa"/>
          </w:tcPr>
          <w:p w14:paraId="51E4E086" w14:textId="77777777" w:rsidR="00052BE6" w:rsidRDefault="00C41869">
            <w:pPr>
              <w:pStyle w:val="TableParagraph"/>
            </w:pPr>
            <w:r>
              <w:t>Yes</w:t>
            </w:r>
          </w:p>
        </w:tc>
      </w:tr>
    </w:tbl>
    <w:p w14:paraId="42DD6F31" w14:textId="77777777" w:rsidR="00052BE6" w:rsidRDefault="00052BE6">
      <w:pPr>
        <w:pStyle w:val="BodyText"/>
        <w:spacing w:before="2"/>
        <w:rPr>
          <w:b/>
          <w:sz w:val="27"/>
        </w:rPr>
      </w:pPr>
    </w:p>
    <w:p w14:paraId="43FF7B80" w14:textId="769C33AB" w:rsidR="00052BE6" w:rsidRDefault="00C41869">
      <w:pPr>
        <w:spacing w:after="45"/>
        <w:ind w:left="1120"/>
        <w:rPr>
          <w:b/>
          <w:sz w:val="24"/>
        </w:rPr>
      </w:pPr>
      <w:r>
        <w:rPr>
          <w:b/>
          <w:sz w:val="24"/>
        </w:rPr>
        <w:t>Policy sign off</w:t>
      </w:r>
      <w:r w:rsidR="000A5B87">
        <w:rPr>
          <w:b/>
          <w:sz w:val="24"/>
        </w:rPr>
        <w:t>:</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91"/>
        <w:gridCol w:w="3423"/>
      </w:tblGrid>
      <w:tr w:rsidR="00052BE6" w14:paraId="3A98BA11" w14:textId="77777777" w:rsidTr="000A5B87">
        <w:trPr>
          <w:trHeight w:hRule="exact" w:val="264"/>
        </w:trPr>
        <w:tc>
          <w:tcPr>
            <w:tcW w:w="5791" w:type="dxa"/>
          </w:tcPr>
          <w:p w14:paraId="3B31A907" w14:textId="77777777" w:rsidR="00052BE6" w:rsidRDefault="00C41869">
            <w:pPr>
              <w:pStyle w:val="TableParagraph"/>
              <w:rPr>
                <w:b/>
              </w:rPr>
            </w:pPr>
            <w:r>
              <w:rPr>
                <w:b/>
              </w:rPr>
              <w:t>Reviewing Body</w:t>
            </w:r>
          </w:p>
        </w:tc>
        <w:tc>
          <w:tcPr>
            <w:tcW w:w="3423" w:type="dxa"/>
          </w:tcPr>
          <w:p w14:paraId="7B2E4EFA" w14:textId="77777777" w:rsidR="00052BE6" w:rsidRDefault="00C41869">
            <w:pPr>
              <w:pStyle w:val="TableParagraph"/>
              <w:rPr>
                <w:b/>
              </w:rPr>
            </w:pPr>
            <w:r>
              <w:rPr>
                <w:b/>
              </w:rPr>
              <w:t>Date of review</w:t>
            </w:r>
          </w:p>
        </w:tc>
      </w:tr>
      <w:tr w:rsidR="000A5B87" w14:paraId="66539394" w14:textId="77777777" w:rsidTr="000A5B87">
        <w:trPr>
          <w:trHeight w:hRule="exact" w:val="264"/>
        </w:trPr>
        <w:tc>
          <w:tcPr>
            <w:tcW w:w="5791" w:type="dxa"/>
          </w:tcPr>
          <w:p w14:paraId="2170F5B8" w14:textId="77777777" w:rsidR="000A5B87" w:rsidRDefault="000A5B87">
            <w:pPr>
              <w:pStyle w:val="TableParagraph"/>
              <w:rPr>
                <w:b/>
              </w:rPr>
            </w:pPr>
          </w:p>
        </w:tc>
        <w:tc>
          <w:tcPr>
            <w:tcW w:w="3423" w:type="dxa"/>
          </w:tcPr>
          <w:p w14:paraId="058F5243" w14:textId="77777777" w:rsidR="000A5B87" w:rsidRDefault="000A5B87">
            <w:pPr>
              <w:pStyle w:val="TableParagraph"/>
              <w:rPr>
                <w:b/>
              </w:rPr>
            </w:pPr>
          </w:p>
        </w:tc>
      </w:tr>
      <w:tr w:rsidR="00052BE6" w14:paraId="39697D33" w14:textId="77777777" w:rsidTr="000A5B87">
        <w:trPr>
          <w:trHeight w:hRule="exact" w:val="262"/>
        </w:trPr>
        <w:tc>
          <w:tcPr>
            <w:tcW w:w="5791" w:type="dxa"/>
          </w:tcPr>
          <w:p w14:paraId="1026F1B9" w14:textId="77777777" w:rsidR="00052BE6" w:rsidRDefault="00C41869">
            <w:pPr>
              <w:pStyle w:val="TableParagraph"/>
            </w:pPr>
            <w:r>
              <w:t>Effective Clinical Commissioning Policy Group</w:t>
            </w:r>
          </w:p>
        </w:tc>
        <w:tc>
          <w:tcPr>
            <w:tcW w:w="3423" w:type="dxa"/>
          </w:tcPr>
          <w:p w14:paraId="41140DFD" w14:textId="77777777" w:rsidR="00052BE6" w:rsidRDefault="00C41869">
            <w:pPr>
              <w:pStyle w:val="TableParagraph"/>
            </w:pPr>
            <w:r>
              <w:t>17</w:t>
            </w:r>
            <w:proofErr w:type="spellStart"/>
            <w:r>
              <w:rPr>
                <w:position w:val="10"/>
                <w:sz w:val="14"/>
              </w:rPr>
              <w:t>th</w:t>
            </w:r>
            <w:proofErr w:type="spellEnd"/>
            <w:r>
              <w:rPr>
                <w:position w:val="10"/>
                <w:sz w:val="14"/>
              </w:rPr>
              <w:t xml:space="preserve">  </w:t>
            </w:r>
            <w:r>
              <w:t>September 2015</w:t>
            </w:r>
          </w:p>
        </w:tc>
      </w:tr>
      <w:tr w:rsidR="00052BE6" w14:paraId="44BC8C91" w14:textId="77777777" w:rsidTr="000A5B87">
        <w:trPr>
          <w:trHeight w:hRule="exact" w:val="266"/>
        </w:trPr>
        <w:tc>
          <w:tcPr>
            <w:tcW w:w="5791" w:type="dxa"/>
          </w:tcPr>
          <w:p w14:paraId="1EF4E2A6" w14:textId="77777777" w:rsidR="00052BE6" w:rsidRDefault="00C41869">
            <w:pPr>
              <w:pStyle w:val="TableParagraph"/>
              <w:spacing w:line="248" w:lineRule="exact"/>
            </w:pPr>
            <w:r>
              <w:t>Integrated Governance and Quality Committee</w:t>
            </w:r>
          </w:p>
        </w:tc>
        <w:tc>
          <w:tcPr>
            <w:tcW w:w="3423" w:type="dxa"/>
          </w:tcPr>
          <w:p w14:paraId="33A7BAF8" w14:textId="77777777" w:rsidR="00052BE6" w:rsidRDefault="00C41869">
            <w:pPr>
              <w:pStyle w:val="TableParagraph"/>
              <w:spacing w:line="248" w:lineRule="exact"/>
            </w:pPr>
            <w:r>
              <w:t>3</w:t>
            </w:r>
            <w:proofErr w:type="spellStart"/>
            <w:r>
              <w:rPr>
                <w:position w:val="10"/>
                <w:sz w:val="14"/>
              </w:rPr>
              <w:t>rd</w:t>
            </w:r>
            <w:proofErr w:type="spellEnd"/>
            <w:r>
              <w:rPr>
                <w:position w:val="10"/>
                <w:sz w:val="14"/>
              </w:rPr>
              <w:t xml:space="preserve">  </w:t>
            </w:r>
            <w:r>
              <w:t>March 2016</w:t>
            </w:r>
          </w:p>
        </w:tc>
      </w:tr>
    </w:tbl>
    <w:p w14:paraId="106973AA" w14:textId="77777777" w:rsidR="00052BE6" w:rsidRDefault="00052BE6">
      <w:pPr>
        <w:pStyle w:val="BodyText"/>
        <w:spacing w:before="5"/>
        <w:rPr>
          <w:b/>
          <w:sz w:val="21"/>
        </w:rPr>
      </w:pPr>
    </w:p>
    <w:p w14:paraId="38870432" w14:textId="6CF0C9F6" w:rsidR="00052BE6" w:rsidRDefault="000A5B87">
      <w:pPr>
        <w:pStyle w:val="Heading2"/>
        <w:spacing w:after="3"/>
        <w:ind w:left="1041"/>
        <w:rPr>
          <w:rFonts w:ascii="Arial"/>
        </w:rPr>
      </w:pPr>
      <w:r>
        <w:rPr>
          <w:rFonts w:ascii="Arial"/>
        </w:rPr>
        <w:t xml:space="preserve">  </w:t>
      </w:r>
      <w:r w:rsidR="00C41869">
        <w:rPr>
          <w:rFonts w:ascii="Arial"/>
        </w:rPr>
        <w:t>Version Control</w:t>
      </w:r>
      <w:r>
        <w:rPr>
          <w:rFonts w:ascii="Arial"/>
        </w:rPr>
        <w:t>:</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2102"/>
        <w:gridCol w:w="876"/>
        <w:gridCol w:w="4960"/>
      </w:tblGrid>
      <w:tr w:rsidR="00052BE6" w14:paraId="4788AB7E" w14:textId="77777777" w:rsidTr="004B70B1">
        <w:trPr>
          <w:trHeight w:hRule="exact" w:val="516"/>
        </w:trPr>
        <w:tc>
          <w:tcPr>
            <w:tcW w:w="1276" w:type="dxa"/>
          </w:tcPr>
          <w:p w14:paraId="2EB8B7EC" w14:textId="77777777" w:rsidR="00052BE6" w:rsidRDefault="00C41869">
            <w:pPr>
              <w:pStyle w:val="TableParagraph"/>
              <w:spacing w:before="2" w:line="252" w:lineRule="exact"/>
              <w:ind w:right="269"/>
              <w:rPr>
                <w:b/>
              </w:rPr>
            </w:pPr>
            <w:r>
              <w:rPr>
                <w:b/>
              </w:rPr>
              <w:t>Version No</w:t>
            </w:r>
          </w:p>
        </w:tc>
        <w:tc>
          <w:tcPr>
            <w:tcW w:w="2102" w:type="dxa"/>
          </w:tcPr>
          <w:p w14:paraId="7F74B6B1" w14:textId="77777777" w:rsidR="00052BE6" w:rsidRDefault="00C41869">
            <w:pPr>
              <w:pStyle w:val="TableParagraph"/>
              <w:spacing w:line="251" w:lineRule="exact"/>
              <w:rPr>
                <w:b/>
              </w:rPr>
            </w:pPr>
            <w:r>
              <w:rPr>
                <w:b/>
              </w:rPr>
              <w:t>Type of Change</w:t>
            </w:r>
          </w:p>
        </w:tc>
        <w:tc>
          <w:tcPr>
            <w:tcW w:w="876" w:type="dxa"/>
          </w:tcPr>
          <w:p w14:paraId="3B919BF6" w14:textId="77777777" w:rsidR="00052BE6" w:rsidRDefault="00C41869">
            <w:pPr>
              <w:pStyle w:val="TableParagraph"/>
              <w:spacing w:line="251" w:lineRule="exact"/>
              <w:rPr>
                <w:b/>
              </w:rPr>
            </w:pPr>
            <w:r>
              <w:rPr>
                <w:b/>
              </w:rPr>
              <w:t>Date</w:t>
            </w:r>
          </w:p>
        </w:tc>
        <w:tc>
          <w:tcPr>
            <w:tcW w:w="4960" w:type="dxa"/>
          </w:tcPr>
          <w:p w14:paraId="5C19095A" w14:textId="77777777" w:rsidR="00052BE6" w:rsidRDefault="00C41869">
            <w:pPr>
              <w:pStyle w:val="TableParagraph"/>
              <w:spacing w:line="251" w:lineRule="exact"/>
              <w:rPr>
                <w:b/>
              </w:rPr>
            </w:pPr>
            <w:r>
              <w:rPr>
                <w:b/>
              </w:rPr>
              <w:t>Description of Change</w:t>
            </w:r>
          </w:p>
        </w:tc>
      </w:tr>
      <w:tr w:rsidR="00052BE6" w14:paraId="264039E9" w14:textId="77777777" w:rsidTr="004B70B1">
        <w:trPr>
          <w:trHeight w:hRule="exact" w:val="834"/>
        </w:trPr>
        <w:tc>
          <w:tcPr>
            <w:tcW w:w="1276" w:type="dxa"/>
          </w:tcPr>
          <w:p w14:paraId="6127ECE5" w14:textId="77777777" w:rsidR="00052BE6" w:rsidRDefault="00C41869">
            <w:r>
              <w:t xml:space="preserve"> 2</w:t>
            </w:r>
          </w:p>
        </w:tc>
        <w:tc>
          <w:tcPr>
            <w:tcW w:w="2102" w:type="dxa"/>
          </w:tcPr>
          <w:p w14:paraId="53B7EB27" w14:textId="77777777" w:rsidR="00052BE6" w:rsidRDefault="00C41869" w:rsidP="0002467A">
            <w:pPr>
              <w:ind w:left="57"/>
            </w:pPr>
            <w:r>
              <w:t xml:space="preserve">Review date </w:t>
            </w:r>
            <w:r w:rsidR="009D0B79">
              <w:t>changed at</w:t>
            </w:r>
            <w:r>
              <w:t xml:space="preserve"> ECCP meeting</w:t>
            </w:r>
          </w:p>
        </w:tc>
        <w:tc>
          <w:tcPr>
            <w:tcW w:w="876" w:type="dxa"/>
          </w:tcPr>
          <w:p w14:paraId="51C50877" w14:textId="77777777" w:rsidR="00052BE6" w:rsidRDefault="00C41869">
            <w:r>
              <w:t xml:space="preserve"> 21.6.18</w:t>
            </w:r>
          </w:p>
        </w:tc>
        <w:tc>
          <w:tcPr>
            <w:tcW w:w="4960" w:type="dxa"/>
          </w:tcPr>
          <w:p w14:paraId="0EE29A25" w14:textId="77777777" w:rsidR="00052BE6" w:rsidRDefault="00C41869" w:rsidP="00C41869">
            <w:r>
              <w:t xml:space="preserve"> Review date changed to June 2021</w:t>
            </w:r>
          </w:p>
        </w:tc>
      </w:tr>
      <w:tr w:rsidR="00052BE6" w14:paraId="1425C475" w14:textId="77777777" w:rsidTr="004B70B1">
        <w:trPr>
          <w:trHeight w:hRule="exact" w:val="1609"/>
        </w:trPr>
        <w:tc>
          <w:tcPr>
            <w:tcW w:w="1276" w:type="dxa"/>
          </w:tcPr>
          <w:p w14:paraId="08FA6987" w14:textId="77777777" w:rsidR="00052BE6" w:rsidRDefault="009C01BE">
            <w:r>
              <w:t xml:space="preserve"> </w:t>
            </w:r>
            <w:r w:rsidR="0070236B">
              <w:t>3</w:t>
            </w:r>
          </w:p>
        </w:tc>
        <w:tc>
          <w:tcPr>
            <w:tcW w:w="2102" w:type="dxa"/>
          </w:tcPr>
          <w:p w14:paraId="72751574" w14:textId="0C71C2F9" w:rsidR="00052BE6" w:rsidRDefault="0070236B" w:rsidP="0002467A">
            <w:pPr>
              <w:ind w:left="57"/>
            </w:pPr>
            <w:r>
              <w:t xml:space="preserve">Minor wording changes </w:t>
            </w:r>
          </w:p>
          <w:p w14:paraId="09AF1745" w14:textId="72E44620" w:rsidR="00D62032" w:rsidRDefault="00D62032" w:rsidP="0002467A">
            <w:pPr>
              <w:ind w:left="57"/>
            </w:pPr>
            <w:r>
              <w:t>P</w:t>
            </w:r>
            <w:r>
              <w:t>olicy type</w:t>
            </w:r>
            <w:r>
              <w:t xml:space="preserve"> change and review date agreed at ECCP meeting 16.9.21</w:t>
            </w:r>
          </w:p>
        </w:tc>
        <w:tc>
          <w:tcPr>
            <w:tcW w:w="876" w:type="dxa"/>
          </w:tcPr>
          <w:p w14:paraId="6792B46B" w14:textId="77777777" w:rsidR="00052BE6" w:rsidRDefault="009D0B79">
            <w:r>
              <w:t xml:space="preserve"> </w:t>
            </w:r>
            <w:r w:rsidR="0070236B">
              <w:t>22.7.21</w:t>
            </w:r>
          </w:p>
          <w:p w14:paraId="2D92E248" w14:textId="77777777" w:rsidR="00D62032" w:rsidRDefault="00D62032"/>
          <w:p w14:paraId="4A9C1A28" w14:textId="77777777" w:rsidR="00D62032" w:rsidRDefault="00D62032"/>
          <w:p w14:paraId="7A18C9E6" w14:textId="77777777" w:rsidR="00D62032" w:rsidRDefault="00D62032"/>
          <w:p w14:paraId="2906A38D" w14:textId="77777777" w:rsidR="00D62032" w:rsidRDefault="00D62032"/>
          <w:p w14:paraId="1D1C6086" w14:textId="121566EA" w:rsidR="00D62032" w:rsidRDefault="00D62032" w:rsidP="00D62032">
            <w:pPr>
              <w:ind w:left="57"/>
            </w:pPr>
            <w:r>
              <w:t>16.9.21</w:t>
            </w:r>
          </w:p>
        </w:tc>
        <w:tc>
          <w:tcPr>
            <w:tcW w:w="4960" w:type="dxa"/>
          </w:tcPr>
          <w:p w14:paraId="64AFBFD5" w14:textId="77777777" w:rsidR="00052BE6" w:rsidRDefault="0070236B" w:rsidP="004B70B1">
            <w:pPr>
              <w:ind w:left="57" w:right="57"/>
              <w:jc w:val="both"/>
            </w:pPr>
            <w:r>
              <w:t>Minor wording changes recommended by Urology consultant.</w:t>
            </w:r>
          </w:p>
          <w:p w14:paraId="0560A44D" w14:textId="77777777" w:rsidR="009C01BE" w:rsidRDefault="009C01BE" w:rsidP="004B70B1">
            <w:pPr>
              <w:ind w:left="57" w:right="57"/>
              <w:jc w:val="both"/>
            </w:pPr>
            <w:r>
              <w:t xml:space="preserve">Review date changed to </w:t>
            </w:r>
            <w:r w:rsidR="009D0B79">
              <w:t>September</w:t>
            </w:r>
            <w:r>
              <w:t xml:space="preserve"> 2024</w:t>
            </w:r>
          </w:p>
          <w:p w14:paraId="254895C2" w14:textId="72F5E7DB" w:rsidR="00D62032" w:rsidRDefault="00D62032" w:rsidP="00D62032">
            <w:pPr>
              <w:ind w:left="57" w:right="57"/>
              <w:jc w:val="both"/>
            </w:pPr>
            <w:r>
              <w:t>Policy</w:t>
            </w:r>
            <w:r>
              <w:t xml:space="preserve"> type</w:t>
            </w:r>
            <w:r>
              <w:t xml:space="preserve"> changed from CBA+PA to CBA from 01.10.2021 agreed by Executive Directors                M </w:t>
            </w:r>
            <w:proofErr w:type="spellStart"/>
            <w:r>
              <w:t>Walkingshaw</w:t>
            </w:r>
            <w:proofErr w:type="spellEnd"/>
            <w:r>
              <w:t xml:space="preserve"> &amp; Marion </w:t>
            </w:r>
            <w:proofErr w:type="spellStart"/>
            <w:r>
              <w:t>Andrews-Evans</w:t>
            </w:r>
            <w:proofErr w:type="spellEnd"/>
            <w:r>
              <w:t xml:space="preserve"> 20.9.21</w:t>
            </w:r>
          </w:p>
          <w:p w14:paraId="6FA7D1BA" w14:textId="16CE5A08" w:rsidR="00D62032" w:rsidRDefault="00D62032" w:rsidP="004B70B1">
            <w:pPr>
              <w:ind w:left="57" w:right="57"/>
              <w:jc w:val="both"/>
            </w:pPr>
          </w:p>
        </w:tc>
      </w:tr>
    </w:tbl>
    <w:p w14:paraId="07EE87F6" w14:textId="77777777" w:rsidR="00795F9D" w:rsidRDefault="00795F9D"/>
    <w:sectPr w:rsidR="00795F9D">
      <w:pgSz w:w="11920" w:h="16850"/>
      <w:pgMar w:top="1540" w:right="1220" w:bottom="1180" w:left="320" w:header="418"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C4743" w14:textId="77777777" w:rsidR="001871DE" w:rsidRDefault="001871DE">
      <w:r>
        <w:separator/>
      </w:r>
    </w:p>
  </w:endnote>
  <w:endnote w:type="continuationSeparator" w:id="0">
    <w:p w14:paraId="41B40A1A" w14:textId="77777777" w:rsidR="001871DE" w:rsidRDefault="0018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CB42" w14:textId="77777777" w:rsidR="001871DE" w:rsidRDefault="001871DE">
    <w:pPr>
      <w:pStyle w:val="BodyText"/>
      <w:spacing w:line="14" w:lineRule="auto"/>
      <w:rPr>
        <w:sz w:val="20"/>
      </w:rPr>
    </w:pPr>
    <w:r>
      <w:rPr>
        <w:noProof/>
        <w:lang w:val="en-GB" w:eastAsia="en-GB"/>
      </w:rPr>
      <mc:AlternateContent>
        <mc:Choice Requires="wps">
          <w:drawing>
            <wp:anchor distT="0" distB="0" distL="114300" distR="114300" simplePos="0" relativeHeight="503309816" behindDoc="1" locked="0" layoutInCell="1" allowOverlap="1" wp14:anchorId="6C0AD826" wp14:editId="771311BA">
              <wp:simplePos x="0" y="0"/>
              <wp:positionH relativeFrom="page">
                <wp:posOffset>3721100</wp:posOffset>
              </wp:positionH>
              <wp:positionV relativeFrom="page">
                <wp:posOffset>9925050</wp:posOffset>
              </wp:positionV>
              <wp:extent cx="342709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16ECC" w14:textId="77777777" w:rsidR="001871DE" w:rsidRDefault="001871DE">
                          <w:pPr>
                            <w:pStyle w:val="BodyText"/>
                            <w:spacing w:line="245" w:lineRule="exact"/>
                            <w:ind w:left="40"/>
                            <w:rPr>
                              <w:rFonts w:ascii="Calibri"/>
                            </w:rPr>
                          </w:pPr>
                          <w:r>
                            <w:fldChar w:fldCharType="begin"/>
                          </w:r>
                          <w:r>
                            <w:rPr>
                              <w:rFonts w:ascii="Calibri"/>
                            </w:rPr>
                            <w:instrText xml:space="preserve"> PAGE </w:instrText>
                          </w:r>
                          <w:r>
                            <w:fldChar w:fldCharType="separate"/>
                          </w:r>
                          <w:r w:rsidR="00597A77">
                            <w:rPr>
                              <w:rFonts w:ascii="Calibri"/>
                              <w:noProof/>
                            </w:rPr>
                            <w:t>1</w:t>
                          </w:r>
                          <w:r>
                            <w:fldChar w:fldCharType="end"/>
                          </w:r>
                          <w:r>
                            <w:t xml:space="preserve">                                                                        V</w:t>
                          </w:r>
                          <w:r w:rsidR="00E97808">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AD826" id="_x0000_t202" coordsize="21600,21600" o:spt="202" path="m,l,21600r21600,l21600,xe">
              <v:stroke joinstyle="miter"/>
              <v:path gradientshapeok="t" o:connecttype="rect"/>
            </v:shapetype>
            <v:shape id="Text Box 1" o:spid="_x0000_s1038" type="#_x0000_t202" style="position:absolute;margin-left:293pt;margin-top:781.5pt;width:269.85pt;height:13.05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" filled="f" stroked="f">
              <v:textbox inset="0,0,0,0">
                <w:txbxContent>
                  <w:p w14:paraId="69116ECC" w14:textId="77777777" w:rsidR="001871DE" w:rsidRDefault="001871DE">
                    <w:pPr>
                      <w:pStyle w:val="BodyText"/>
                      <w:spacing w:line="245" w:lineRule="exact"/>
                      <w:ind w:left="40"/>
                      <w:rPr>
                        <w:rFonts w:ascii="Calibri"/>
                      </w:rPr>
                    </w:pPr>
                    <w:r>
                      <w:fldChar w:fldCharType="begin"/>
                    </w:r>
                    <w:r>
                      <w:rPr>
                        <w:rFonts w:ascii="Calibri"/>
                      </w:rPr>
                      <w:instrText xml:space="preserve"> PAGE </w:instrText>
                    </w:r>
                    <w:r>
                      <w:fldChar w:fldCharType="separate"/>
                    </w:r>
                    <w:r w:rsidR="00597A77">
                      <w:rPr>
                        <w:rFonts w:ascii="Calibri"/>
                        <w:noProof/>
                      </w:rPr>
                      <w:t>1</w:t>
                    </w:r>
                    <w:r>
                      <w:fldChar w:fldCharType="end"/>
                    </w:r>
                    <w:r>
                      <w:t xml:space="preserve">                                                                        V</w:t>
                    </w:r>
                    <w:r w:rsidR="00E97808">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D7102" w14:textId="77777777" w:rsidR="001871DE" w:rsidRDefault="001871DE">
      <w:r>
        <w:separator/>
      </w:r>
    </w:p>
  </w:footnote>
  <w:footnote w:type="continuationSeparator" w:id="0">
    <w:p w14:paraId="700853A9" w14:textId="77777777" w:rsidR="001871DE" w:rsidRDefault="00187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5432" w14:textId="77777777" w:rsidR="001871DE" w:rsidRDefault="001871DE">
    <w:pPr>
      <w:pStyle w:val="BodyText"/>
      <w:spacing w:line="14" w:lineRule="auto"/>
      <w:rPr>
        <w:sz w:val="20"/>
      </w:rPr>
    </w:pPr>
    <w:r>
      <w:rPr>
        <w:noProof/>
        <w:lang w:val="en-GB" w:eastAsia="en-GB"/>
      </w:rPr>
      <mc:AlternateContent>
        <mc:Choice Requires="wps">
          <w:drawing>
            <wp:anchor distT="0" distB="0" distL="114300" distR="114300" simplePos="0" relativeHeight="503309792" behindDoc="1" locked="0" layoutInCell="1" allowOverlap="1" wp14:anchorId="498CA581" wp14:editId="3F926D10">
              <wp:simplePos x="0" y="0"/>
              <wp:positionH relativeFrom="page">
                <wp:posOffset>381000</wp:posOffset>
              </wp:positionH>
              <wp:positionV relativeFrom="topMargin">
                <wp:posOffset>123825</wp:posOffset>
              </wp:positionV>
              <wp:extent cx="239077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D6C3F" w14:textId="77777777" w:rsidR="001871DE" w:rsidRDefault="001871DE">
                          <w:pPr>
                            <w:spacing w:line="245" w:lineRule="exact"/>
                            <w:ind w:left="20"/>
                            <w:rPr>
                              <w:rFonts w:ascii="Calibri"/>
                              <w:b/>
                            </w:rPr>
                          </w:pPr>
                          <w:r>
                            <w:rPr>
                              <w:rFonts w:ascii="Calibri"/>
                              <w:b/>
                            </w:rPr>
                            <w:t>Policy Category:</w:t>
                          </w:r>
                        </w:p>
                        <w:p w14:paraId="151E7592" w14:textId="77777777" w:rsidR="001871DE" w:rsidRDefault="001871DE">
                          <w:pPr>
                            <w:spacing w:before="26"/>
                            <w:ind w:left="20"/>
                            <w:rPr>
                              <w:rFonts w:ascii="Calibri"/>
                              <w:b/>
                            </w:rPr>
                          </w:pPr>
                          <w:r>
                            <w:rPr>
                              <w:rFonts w:ascii="Calibri"/>
                              <w:b/>
                              <w:color w:val="FF0000"/>
                            </w:rPr>
                            <w:t>CBA</w:t>
                          </w:r>
                        </w:p>
                        <w:p w14:paraId="17A76F8C" w14:textId="77777777" w:rsidR="000A5B87" w:rsidRDefault="001871DE">
                          <w:pPr>
                            <w:spacing w:before="38" w:line="273" w:lineRule="auto"/>
                            <w:ind w:left="20" w:right="2"/>
                            <w:rPr>
                              <w:rFonts w:ascii="Calibri"/>
                              <w:b/>
                            </w:rPr>
                          </w:pPr>
                          <w:r>
                            <w:rPr>
                              <w:rFonts w:ascii="Calibri"/>
                              <w:b/>
                            </w:rPr>
                            <w:t>Who usually applies for funding?</w:t>
                          </w:r>
                        </w:p>
                        <w:p w14:paraId="4C911CDB" w14:textId="51ED4CC8" w:rsidR="001871DE" w:rsidRDefault="009C01BE">
                          <w:pPr>
                            <w:spacing w:before="38" w:line="273" w:lineRule="auto"/>
                            <w:ind w:left="20" w:right="2"/>
                            <w:rPr>
                              <w:rFonts w:ascii="Calibri"/>
                              <w:b/>
                            </w:rPr>
                          </w:pPr>
                          <w:r>
                            <w:rPr>
                              <w:rFonts w:ascii="Calibri"/>
                              <w:b/>
                              <w:color w:val="FF0000"/>
                            </w:rPr>
                            <w:t>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CA581" id="_x0000_t202" coordsize="21600,21600" o:spt="202" path="m,l,21600r21600,l21600,xe">
              <v:stroke joinstyle="miter"/>
              <v:path gradientshapeok="t" o:connecttype="rect"/>
            </v:shapetype>
            <v:shape id="_x0000_s1037" type="#_x0000_t202" style="position:absolute;margin-left:30pt;margin-top:9.75pt;width:188.25pt;height:69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" filled="f" stroked="f">
              <v:textbox inset="0,0,0,0">
                <w:txbxContent>
                  <w:p w14:paraId="21AD6C3F" w14:textId="77777777" w:rsidR="001871DE" w:rsidRDefault="001871DE">
                    <w:pPr>
                      <w:spacing w:line="245" w:lineRule="exact"/>
                      <w:ind w:left="20"/>
                      <w:rPr>
                        <w:rFonts w:ascii="Calibri"/>
                        <w:b/>
                      </w:rPr>
                    </w:pPr>
                    <w:r>
                      <w:rPr>
                        <w:rFonts w:ascii="Calibri"/>
                        <w:b/>
                      </w:rPr>
                      <w:t>Policy Category:</w:t>
                    </w:r>
                  </w:p>
                  <w:p w14:paraId="151E7592" w14:textId="77777777" w:rsidR="001871DE" w:rsidRDefault="001871DE">
                    <w:pPr>
                      <w:spacing w:before="26"/>
                      <w:ind w:left="20"/>
                      <w:rPr>
                        <w:rFonts w:ascii="Calibri"/>
                        <w:b/>
                      </w:rPr>
                    </w:pPr>
                    <w:r>
                      <w:rPr>
                        <w:rFonts w:ascii="Calibri"/>
                        <w:b/>
                        <w:color w:val="FF0000"/>
                      </w:rPr>
                      <w:t>CBA</w:t>
                    </w:r>
                  </w:p>
                  <w:p w14:paraId="17A76F8C" w14:textId="77777777" w:rsidR="000A5B87" w:rsidRDefault="001871DE">
                    <w:pPr>
                      <w:spacing w:before="38" w:line="273" w:lineRule="auto"/>
                      <w:ind w:left="20" w:right="2"/>
                      <w:rPr>
                        <w:rFonts w:ascii="Calibri"/>
                        <w:b/>
                      </w:rPr>
                    </w:pPr>
                    <w:r>
                      <w:rPr>
                        <w:rFonts w:ascii="Calibri"/>
                        <w:b/>
                      </w:rPr>
                      <w:t>Who usually applies for funding?</w:t>
                    </w:r>
                  </w:p>
                  <w:p w14:paraId="4C911CDB" w14:textId="51ED4CC8" w:rsidR="001871DE" w:rsidRDefault="009C01BE">
                    <w:pPr>
                      <w:spacing w:before="38" w:line="273" w:lineRule="auto"/>
                      <w:ind w:left="20" w:right="2"/>
                      <w:rPr>
                        <w:rFonts w:ascii="Calibri"/>
                        <w:b/>
                      </w:rPr>
                    </w:pPr>
                    <w:r>
                      <w:rPr>
                        <w:rFonts w:ascii="Calibri"/>
                        <w:b/>
                        <w:color w:val="FF0000"/>
                      </w:rPr>
                      <w:t>Not Applicable</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300E"/>
    <w:multiLevelType w:val="hybridMultilevel"/>
    <w:tmpl w:val="67E895E0"/>
    <w:lvl w:ilvl="0" w:tplc="590220F8">
      <w:numFmt w:val="bullet"/>
      <w:lvlText w:val=""/>
      <w:lvlJc w:val="left"/>
      <w:pPr>
        <w:ind w:left="823" w:hanging="360"/>
      </w:pPr>
      <w:rPr>
        <w:rFonts w:ascii="Symbol" w:eastAsia="Symbol" w:hAnsi="Symbol" w:cs="Symbol" w:hint="default"/>
        <w:w w:val="100"/>
        <w:sz w:val="22"/>
        <w:szCs w:val="22"/>
      </w:rPr>
    </w:lvl>
    <w:lvl w:ilvl="1" w:tplc="4B72D94A">
      <w:numFmt w:val="bullet"/>
      <w:lvlText w:val="•"/>
      <w:lvlJc w:val="left"/>
      <w:pPr>
        <w:ind w:left="1661" w:hanging="360"/>
      </w:pPr>
      <w:rPr>
        <w:rFonts w:hint="default"/>
      </w:rPr>
    </w:lvl>
    <w:lvl w:ilvl="2" w:tplc="72D4C1D0">
      <w:numFmt w:val="bullet"/>
      <w:lvlText w:val="•"/>
      <w:lvlJc w:val="left"/>
      <w:pPr>
        <w:ind w:left="2502" w:hanging="360"/>
      </w:pPr>
      <w:rPr>
        <w:rFonts w:hint="default"/>
      </w:rPr>
    </w:lvl>
    <w:lvl w:ilvl="3" w:tplc="FF6A0ACA">
      <w:numFmt w:val="bullet"/>
      <w:lvlText w:val="•"/>
      <w:lvlJc w:val="left"/>
      <w:pPr>
        <w:ind w:left="3344" w:hanging="360"/>
      </w:pPr>
      <w:rPr>
        <w:rFonts w:hint="default"/>
      </w:rPr>
    </w:lvl>
    <w:lvl w:ilvl="4" w:tplc="34CAB5E2">
      <w:numFmt w:val="bullet"/>
      <w:lvlText w:val="•"/>
      <w:lvlJc w:val="left"/>
      <w:pPr>
        <w:ind w:left="4185" w:hanging="360"/>
      </w:pPr>
      <w:rPr>
        <w:rFonts w:hint="default"/>
      </w:rPr>
    </w:lvl>
    <w:lvl w:ilvl="5" w:tplc="4A364888">
      <w:numFmt w:val="bullet"/>
      <w:lvlText w:val="•"/>
      <w:lvlJc w:val="left"/>
      <w:pPr>
        <w:ind w:left="5027" w:hanging="360"/>
      </w:pPr>
      <w:rPr>
        <w:rFonts w:hint="default"/>
      </w:rPr>
    </w:lvl>
    <w:lvl w:ilvl="6" w:tplc="11CE8516">
      <w:numFmt w:val="bullet"/>
      <w:lvlText w:val="•"/>
      <w:lvlJc w:val="left"/>
      <w:pPr>
        <w:ind w:left="5868" w:hanging="360"/>
      </w:pPr>
      <w:rPr>
        <w:rFonts w:hint="default"/>
      </w:rPr>
    </w:lvl>
    <w:lvl w:ilvl="7" w:tplc="43AEDBCA">
      <w:numFmt w:val="bullet"/>
      <w:lvlText w:val="•"/>
      <w:lvlJc w:val="left"/>
      <w:pPr>
        <w:ind w:left="6710" w:hanging="360"/>
      </w:pPr>
      <w:rPr>
        <w:rFonts w:hint="default"/>
      </w:rPr>
    </w:lvl>
    <w:lvl w:ilvl="8" w:tplc="8D626E8C">
      <w:numFmt w:val="bullet"/>
      <w:lvlText w:val="•"/>
      <w:lvlJc w:val="left"/>
      <w:pPr>
        <w:ind w:left="75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E6"/>
    <w:rsid w:val="0002467A"/>
    <w:rsid w:val="00052BE6"/>
    <w:rsid w:val="000A5B87"/>
    <w:rsid w:val="000C3F8E"/>
    <w:rsid w:val="00160C9F"/>
    <w:rsid w:val="001871DE"/>
    <w:rsid w:val="00217BAB"/>
    <w:rsid w:val="00217E36"/>
    <w:rsid w:val="002F7ED5"/>
    <w:rsid w:val="003B1C75"/>
    <w:rsid w:val="004B0B58"/>
    <w:rsid w:val="004B70B1"/>
    <w:rsid w:val="00597A77"/>
    <w:rsid w:val="00652280"/>
    <w:rsid w:val="006832C6"/>
    <w:rsid w:val="0070236B"/>
    <w:rsid w:val="00795F9D"/>
    <w:rsid w:val="007B41AC"/>
    <w:rsid w:val="009C01BE"/>
    <w:rsid w:val="009D0B79"/>
    <w:rsid w:val="00AB618D"/>
    <w:rsid w:val="00AD1D01"/>
    <w:rsid w:val="00AF1960"/>
    <w:rsid w:val="00C41869"/>
    <w:rsid w:val="00D62032"/>
    <w:rsid w:val="00E9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4B417B"/>
  <w15:docId w15:val="{6E62BD04-9AA5-42AC-BED3-AC006991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0"/>
      <w:outlineLvl w:val="0"/>
    </w:pPr>
    <w:rPr>
      <w:b/>
      <w:bCs/>
      <w:sz w:val="24"/>
      <w:szCs w:val="24"/>
    </w:rPr>
  </w:style>
  <w:style w:type="paragraph" w:styleId="Heading2">
    <w:name w:val="heading 2"/>
    <w:basedOn w:val="Normal"/>
    <w:uiPriority w:val="1"/>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3" w:right="205" w:hanging="360"/>
    </w:pPr>
  </w:style>
  <w:style w:type="paragraph" w:customStyle="1" w:styleId="TableParagraph">
    <w:name w:val="Table Paragraph"/>
    <w:basedOn w:val="Normal"/>
    <w:uiPriority w:val="1"/>
    <w:qFormat/>
    <w:pPr>
      <w:spacing w:line="246" w:lineRule="exact"/>
      <w:ind w:left="103"/>
    </w:pPr>
  </w:style>
  <w:style w:type="paragraph" w:styleId="Header">
    <w:name w:val="header"/>
    <w:basedOn w:val="Normal"/>
    <w:link w:val="HeaderChar"/>
    <w:uiPriority w:val="99"/>
    <w:unhideWhenUsed/>
    <w:rsid w:val="00C41869"/>
    <w:pPr>
      <w:tabs>
        <w:tab w:val="center" w:pos="4513"/>
        <w:tab w:val="right" w:pos="9026"/>
      </w:tabs>
    </w:pPr>
  </w:style>
  <w:style w:type="character" w:customStyle="1" w:styleId="HeaderChar">
    <w:name w:val="Header Char"/>
    <w:basedOn w:val="DefaultParagraphFont"/>
    <w:link w:val="Header"/>
    <w:uiPriority w:val="99"/>
    <w:rsid w:val="00C41869"/>
    <w:rPr>
      <w:rFonts w:ascii="Arial" w:eastAsia="Arial" w:hAnsi="Arial" w:cs="Arial"/>
    </w:rPr>
  </w:style>
  <w:style w:type="paragraph" w:styleId="Footer">
    <w:name w:val="footer"/>
    <w:basedOn w:val="Normal"/>
    <w:link w:val="FooterChar"/>
    <w:uiPriority w:val="99"/>
    <w:unhideWhenUsed/>
    <w:rsid w:val="00C41869"/>
    <w:pPr>
      <w:tabs>
        <w:tab w:val="center" w:pos="4513"/>
        <w:tab w:val="right" w:pos="9026"/>
      </w:tabs>
    </w:pPr>
  </w:style>
  <w:style w:type="character" w:customStyle="1" w:styleId="FooterChar">
    <w:name w:val="Footer Char"/>
    <w:basedOn w:val="DefaultParagraphFont"/>
    <w:link w:val="Footer"/>
    <w:uiPriority w:val="99"/>
    <w:rsid w:val="00C41869"/>
    <w:rPr>
      <w:rFonts w:ascii="Arial" w:eastAsia="Arial" w:hAnsi="Arial" w:cs="Arial"/>
    </w:rPr>
  </w:style>
  <w:style w:type="paragraph" w:styleId="BalloonText">
    <w:name w:val="Balloon Text"/>
    <w:basedOn w:val="Normal"/>
    <w:link w:val="BalloonTextChar"/>
    <w:uiPriority w:val="99"/>
    <w:semiHidden/>
    <w:unhideWhenUsed/>
    <w:rsid w:val="001871DE"/>
    <w:rPr>
      <w:rFonts w:ascii="Tahoma" w:hAnsi="Tahoma" w:cs="Tahoma"/>
      <w:sz w:val="16"/>
      <w:szCs w:val="16"/>
    </w:rPr>
  </w:style>
  <w:style w:type="character" w:customStyle="1" w:styleId="BalloonTextChar">
    <w:name w:val="Balloon Text Char"/>
    <w:basedOn w:val="DefaultParagraphFont"/>
    <w:link w:val="BalloonText"/>
    <w:uiPriority w:val="99"/>
    <w:semiHidden/>
    <w:rsid w:val="001871DE"/>
    <w:rPr>
      <w:rFonts w:ascii="Tahoma" w:eastAsia="Arial" w:hAnsi="Tahoma" w:cs="Tahoma"/>
      <w:sz w:val="16"/>
      <w:szCs w:val="16"/>
    </w:rPr>
  </w:style>
  <w:style w:type="character" w:styleId="Hyperlink">
    <w:name w:val="Hyperlink"/>
    <w:basedOn w:val="DefaultParagraphFont"/>
    <w:uiPriority w:val="99"/>
    <w:unhideWhenUsed/>
    <w:rsid w:val="00652280"/>
    <w:rPr>
      <w:color w:val="0000FF" w:themeColor="hyperlink"/>
      <w:u w:val="single"/>
    </w:rPr>
  </w:style>
  <w:style w:type="character" w:styleId="UnresolvedMention">
    <w:name w:val="Unresolved Mention"/>
    <w:basedOn w:val="DefaultParagraphFont"/>
    <w:uiPriority w:val="99"/>
    <w:semiHidden/>
    <w:unhideWhenUsed/>
    <w:rsid w:val="00652280"/>
    <w:rPr>
      <w:color w:val="605E5C"/>
      <w:shd w:val="clear" w:color="auto" w:fill="E1DFDD"/>
    </w:rPr>
  </w:style>
  <w:style w:type="paragraph" w:styleId="Revision">
    <w:name w:val="Revision"/>
    <w:hidden/>
    <w:uiPriority w:val="99"/>
    <w:semiHidden/>
    <w:rsid w:val="004B0B5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LCCG.IFR@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ks.nhs.uk/" TargetMode="External"/><Relationship Id="rId5" Type="http://schemas.openxmlformats.org/officeDocument/2006/relationships/footnotes" Target="footnotes.xml"/><Relationship Id="rId10" Type="http://schemas.openxmlformats.org/officeDocument/2006/relationships/hyperlink" Target="http://www.cks.nhs.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ITC-JG</dc:creator>
  <cp:lastModifiedBy>HIGGINS, Jacky (NHS GLOUCESTERSHIRE CCG)</cp:lastModifiedBy>
  <cp:revision>2</cp:revision>
  <dcterms:created xsi:type="dcterms:W3CDTF">2021-09-22T07:38:00Z</dcterms:created>
  <dcterms:modified xsi:type="dcterms:W3CDTF">2021-09-22T07:38:00Z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2018-07-18T00:00:00Z</vt:filetime>
  </property>
</Properties>
</file>