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E25" w:rsidRDefault="008600F3">
      <w:pPr>
        <w:pStyle w:val="BodyText"/>
        <w:rPr>
          <w:rFonts w:ascii="Times New Roman"/>
          <w:sz w:val="20"/>
        </w:rPr>
      </w:pPr>
      <w:r>
        <w:rPr>
          <w:noProof/>
          <w:lang w:bidi="ar-SA"/>
        </w:rPr>
        <mc:AlternateContent>
          <mc:Choice Requires="wps">
            <w:drawing>
              <wp:anchor distT="0" distB="0" distL="114300" distR="114300" simplePos="0" relativeHeight="251408384" behindDoc="1" locked="0" layoutInCell="1" allowOverlap="1">
                <wp:simplePos x="0" y="0"/>
                <wp:positionH relativeFrom="page">
                  <wp:posOffset>276225</wp:posOffset>
                </wp:positionH>
                <wp:positionV relativeFrom="page">
                  <wp:posOffset>180975</wp:posOffset>
                </wp:positionV>
                <wp:extent cx="2638425" cy="904875"/>
                <wp:effectExtent l="0" t="0" r="0" b="0"/>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8425" cy="9048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21.75pt;margin-top:14.25pt;width:207.75pt;height:71.25pt;z-index:-251908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" filled="f">
                <w10:wrap anchorx="page" anchory="page"/>
              </v:rect>
            </w:pict>
          </mc:Fallback>
        </mc:AlternateContent>
      </w:r>
      <w:r>
        <w:rPr>
          <w:noProof/>
          <w:lang w:bidi="ar-SA"/>
        </w:rPr>
        <w:drawing>
          <wp:anchor distT="0" distB="0" distL="0" distR="0" simplePos="0" relativeHeight="251660288" behindDoc="0" locked="0" layoutInCell="1" allowOverlap="1">
            <wp:simplePos x="0" y="0"/>
            <wp:positionH relativeFrom="page">
              <wp:posOffset>4739573</wp:posOffset>
            </wp:positionH>
            <wp:positionV relativeFrom="page">
              <wp:posOffset>477978</wp:posOffset>
            </wp:positionV>
            <wp:extent cx="2582431" cy="67039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582431" cy="670393"/>
                    </a:xfrm>
                    <a:prstGeom prst="rect">
                      <a:avLst/>
                    </a:prstGeom>
                  </pic:spPr>
                </pic:pic>
              </a:graphicData>
            </a:graphic>
          </wp:anchor>
        </w:drawing>
      </w:r>
    </w:p>
    <w:p w:rsidR="00570E25" w:rsidRDefault="00570E25">
      <w:pPr>
        <w:pStyle w:val="BodyText"/>
        <w:spacing w:before="5"/>
        <w:rPr>
          <w:rFonts w:ascii="Times New Roman"/>
          <w:sz w:val="23"/>
        </w:rPr>
      </w:pPr>
    </w:p>
    <w:p w:rsidR="00570E25" w:rsidRDefault="008600F3">
      <w:pPr>
        <w:pStyle w:val="Heading1"/>
        <w:ind w:left="3351" w:right="4238"/>
        <w:jc w:val="center"/>
      </w:pPr>
      <w:r>
        <w:t>Hip Arthroscopy</w:t>
      </w:r>
    </w:p>
    <w:p w:rsidR="00570E25" w:rsidRDefault="00570E25">
      <w:pPr>
        <w:pStyle w:val="BodyText"/>
        <w:spacing w:before="3"/>
        <w:rPr>
          <w:b/>
          <w:sz w:val="12"/>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5"/>
        <w:gridCol w:w="7153"/>
      </w:tblGrid>
      <w:tr w:rsidR="00570E25">
        <w:trPr>
          <w:trHeight w:val="554"/>
        </w:trPr>
        <w:tc>
          <w:tcPr>
            <w:tcW w:w="2095" w:type="dxa"/>
            <w:shd w:val="clear" w:color="auto" w:fill="D9D9D9"/>
          </w:tcPr>
          <w:p w:rsidR="00570E25" w:rsidRDefault="008600F3">
            <w:pPr>
              <w:pStyle w:val="TableParagraph"/>
              <w:spacing w:line="242" w:lineRule="auto"/>
              <w:ind w:left="110" w:right="304"/>
              <w:rPr>
                <w:b/>
              </w:rPr>
            </w:pPr>
            <w:r>
              <w:rPr>
                <w:b/>
              </w:rPr>
              <w:t>Commissioning decision</w:t>
            </w:r>
          </w:p>
        </w:tc>
        <w:tc>
          <w:tcPr>
            <w:tcW w:w="7153" w:type="dxa"/>
          </w:tcPr>
          <w:p w:rsidR="00570E25" w:rsidRDefault="008600F3">
            <w:pPr>
              <w:pStyle w:val="TableParagraph"/>
              <w:ind w:left="107" w:right="657"/>
            </w:pPr>
            <w:r>
              <w:t>The CCG will provide funding for hip arthroscopy for patients who meet the criteria defined within this policy.</w:t>
            </w:r>
          </w:p>
        </w:tc>
      </w:tr>
    </w:tbl>
    <w:p w:rsidR="00570E25" w:rsidRDefault="00570E25">
      <w:pPr>
        <w:pStyle w:val="BodyText"/>
        <w:spacing w:before="10"/>
        <w:rPr>
          <w:b/>
          <w:sz w:val="25"/>
        </w:rPr>
      </w:pPr>
    </w:p>
    <w:p w:rsidR="00570E25" w:rsidRDefault="008600F3">
      <w:pPr>
        <w:pStyle w:val="Heading2"/>
      </w:pPr>
      <w:r>
        <w:t>Policy Statement:</w:t>
      </w:r>
    </w:p>
    <w:p w:rsidR="00570E25" w:rsidRDefault="008600F3">
      <w:pPr>
        <w:pStyle w:val="BodyText"/>
        <w:spacing w:before="80"/>
        <w:ind w:left="240" w:right="653"/>
      </w:pPr>
      <w:r>
        <w:rPr>
          <w:noProof/>
          <w:lang w:bidi="ar-SA"/>
        </w:rPr>
        <mc:AlternateContent>
          <mc:Choice Requires="wps">
            <w:drawing>
              <wp:anchor distT="0" distB="0" distL="114300" distR="114300" simplePos="0" relativeHeight="251409408" behindDoc="1" locked="0" layoutInCell="1" allowOverlap="1">
                <wp:simplePos x="0" y="0"/>
                <wp:positionH relativeFrom="page">
                  <wp:posOffset>845820</wp:posOffset>
                </wp:positionH>
                <wp:positionV relativeFrom="paragraph">
                  <wp:posOffset>50800</wp:posOffset>
                </wp:positionV>
                <wp:extent cx="5869940" cy="7124700"/>
                <wp:effectExtent l="0" t="0" r="0" b="0"/>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9940" cy="71247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66.6pt;margin-top:4pt;width:462.2pt;height:561pt;z-index:-251907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" filled="f" strokeweight=".48pt">
                <w10:wrap anchorx="page"/>
              </v:rect>
            </w:pict>
          </mc:Fallback>
        </mc:AlternateContent>
      </w:r>
      <w:r>
        <w:t>The CCG will only provide funding for hip arthroscopy for patients meeting these general criteria:</w:t>
      </w:r>
    </w:p>
    <w:p w:rsidR="00570E25" w:rsidRDefault="00570E25">
      <w:pPr>
        <w:pStyle w:val="BodyText"/>
        <w:spacing w:before="2"/>
      </w:pPr>
    </w:p>
    <w:p w:rsidR="008600F3" w:rsidRPr="008600F3" w:rsidRDefault="008600F3" w:rsidP="008600F3">
      <w:pPr>
        <w:pStyle w:val="Default"/>
        <w:numPr>
          <w:ilvl w:val="0"/>
          <w:numId w:val="1"/>
        </w:numPr>
        <w:rPr>
          <w:sz w:val="22"/>
          <w:szCs w:val="22"/>
        </w:rPr>
      </w:pPr>
      <w:r w:rsidRPr="008600F3">
        <w:rPr>
          <w:sz w:val="22"/>
          <w:szCs w:val="22"/>
        </w:rPr>
        <w:t xml:space="preserve">The patient’s symptoms persist despite the patient having fully engaged with conservative measures as defined by NICE Quality Standard QS87 </w:t>
      </w:r>
      <w:r>
        <w:rPr>
          <w:sz w:val="22"/>
          <w:szCs w:val="22"/>
        </w:rPr>
        <w:t xml:space="preserve">                       </w:t>
      </w:r>
      <w:r w:rsidRPr="008600F3">
        <w:rPr>
          <w:sz w:val="22"/>
          <w:szCs w:val="22"/>
        </w:rPr>
        <w:t>(</w:t>
      </w:r>
      <w:hyperlink r:id="rId9" w:history="1">
        <w:r w:rsidRPr="008600F3">
          <w:rPr>
            <w:rStyle w:val="Hyperlink"/>
            <w:sz w:val="22"/>
            <w:szCs w:val="22"/>
          </w:rPr>
          <w:t>Quality Standard 7: Core treatments before referral for consideration of joint surgery</w:t>
        </w:r>
      </w:hyperlink>
      <w:proofErr w:type="gramStart"/>
      <w:r w:rsidRPr="008600F3">
        <w:rPr>
          <w:sz w:val="22"/>
          <w:szCs w:val="22"/>
        </w:rPr>
        <w:t xml:space="preserve">) </w:t>
      </w:r>
      <w:r>
        <w:rPr>
          <w:sz w:val="22"/>
          <w:szCs w:val="22"/>
        </w:rPr>
        <w:t xml:space="preserve"> </w:t>
      </w:r>
      <w:r w:rsidRPr="008600F3">
        <w:rPr>
          <w:sz w:val="22"/>
          <w:szCs w:val="22"/>
        </w:rPr>
        <w:t>for</w:t>
      </w:r>
      <w:proofErr w:type="gramEnd"/>
      <w:r w:rsidRPr="008600F3">
        <w:rPr>
          <w:sz w:val="22"/>
          <w:szCs w:val="22"/>
        </w:rPr>
        <w:t xml:space="preserve"> a period of 3 months</w:t>
      </w:r>
      <w:r>
        <w:rPr>
          <w:sz w:val="22"/>
          <w:szCs w:val="22"/>
        </w:rPr>
        <w:t>.</w:t>
      </w:r>
    </w:p>
    <w:p w:rsidR="00570E25" w:rsidRDefault="008600F3">
      <w:pPr>
        <w:pStyle w:val="Heading2"/>
        <w:spacing w:line="248" w:lineRule="exact"/>
        <w:ind w:left="859"/>
      </w:pPr>
      <w:r>
        <w:t>AND</w:t>
      </w:r>
    </w:p>
    <w:p w:rsidR="00570E25" w:rsidRDefault="008600F3">
      <w:pPr>
        <w:pStyle w:val="ListParagraph"/>
        <w:numPr>
          <w:ilvl w:val="0"/>
          <w:numId w:val="1"/>
        </w:numPr>
        <w:tabs>
          <w:tab w:val="left" w:pos="857"/>
          <w:tab w:val="left" w:pos="858"/>
        </w:tabs>
        <w:spacing w:before="9" w:line="237" w:lineRule="auto"/>
        <w:ind w:right="589"/>
      </w:pPr>
      <w:r>
        <w:t xml:space="preserve">Diagnosis has been confirmed by appropriate investigations including X-Rays, </w:t>
      </w:r>
      <w:r>
        <w:rPr>
          <w:spacing w:val="-4"/>
        </w:rPr>
        <w:t xml:space="preserve">MRI </w:t>
      </w:r>
      <w:r>
        <w:t>and/or CT</w:t>
      </w:r>
      <w:r>
        <w:rPr>
          <w:spacing w:val="-4"/>
        </w:rPr>
        <w:t xml:space="preserve"> </w:t>
      </w:r>
      <w:r>
        <w:t>scans.</w:t>
      </w:r>
    </w:p>
    <w:p w:rsidR="00570E25" w:rsidRDefault="008600F3">
      <w:pPr>
        <w:pStyle w:val="Heading2"/>
        <w:spacing w:line="250" w:lineRule="exact"/>
        <w:ind w:left="859"/>
      </w:pPr>
      <w:r>
        <w:t>AND</w:t>
      </w:r>
    </w:p>
    <w:p w:rsidR="00570E25" w:rsidRDefault="008600F3">
      <w:pPr>
        <w:pStyle w:val="ListParagraph"/>
        <w:numPr>
          <w:ilvl w:val="0"/>
          <w:numId w:val="1"/>
        </w:numPr>
        <w:tabs>
          <w:tab w:val="left" w:pos="857"/>
          <w:tab w:val="left" w:pos="858"/>
        </w:tabs>
        <w:spacing w:before="3"/>
        <w:ind w:right="438"/>
      </w:pPr>
      <w:r>
        <w:t>The patient’s significant functional impairment is likely to be corrected or significantly improved by</w:t>
      </w:r>
      <w:r>
        <w:rPr>
          <w:spacing w:val="-7"/>
        </w:rPr>
        <w:t xml:space="preserve"> </w:t>
      </w:r>
      <w:r>
        <w:t>surgery.</w:t>
      </w:r>
    </w:p>
    <w:p w:rsidR="00570E25" w:rsidRDefault="008600F3">
      <w:pPr>
        <w:pStyle w:val="Heading2"/>
        <w:spacing w:line="249" w:lineRule="exact"/>
        <w:ind w:left="859"/>
      </w:pPr>
      <w:r>
        <w:t>AND</w:t>
      </w:r>
    </w:p>
    <w:p w:rsidR="00570E25" w:rsidRDefault="008600F3">
      <w:pPr>
        <w:pStyle w:val="ListParagraph"/>
        <w:numPr>
          <w:ilvl w:val="0"/>
          <w:numId w:val="1"/>
        </w:numPr>
        <w:tabs>
          <w:tab w:val="left" w:pos="857"/>
          <w:tab w:val="left" w:pos="858"/>
        </w:tabs>
        <w:spacing w:before="3" w:line="237" w:lineRule="auto"/>
        <w:ind w:right="495"/>
      </w:pPr>
      <w:r>
        <w:t>The patient is experiencing moderate-to-s</w:t>
      </w:r>
      <w:r w:rsidR="00B0480F">
        <w:t>evere hip pain that is worsened</w:t>
      </w:r>
      <w:r>
        <w:t xml:space="preserve"> by flexion activities (e.g., squatting or prolonged sitting or climbing</w:t>
      </w:r>
      <w:r>
        <w:rPr>
          <w:spacing w:val="-29"/>
        </w:rPr>
        <w:t xml:space="preserve"> </w:t>
      </w:r>
      <w:r>
        <w:t>stairs)</w:t>
      </w:r>
    </w:p>
    <w:p w:rsidR="00570E25" w:rsidRDefault="00570E25">
      <w:pPr>
        <w:pStyle w:val="BodyText"/>
        <w:spacing w:before="5"/>
        <w:rPr>
          <w:sz w:val="21"/>
        </w:rPr>
      </w:pPr>
    </w:p>
    <w:p w:rsidR="00570E25" w:rsidRDefault="008600F3">
      <w:pPr>
        <w:pStyle w:val="Heading2"/>
        <w:ind w:left="857"/>
      </w:pPr>
      <w:r>
        <w:t>OR</w:t>
      </w:r>
    </w:p>
    <w:p w:rsidR="00570E25" w:rsidRDefault="00570E25">
      <w:pPr>
        <w:pStyle w:val="BodyText"/>
        <w:spacing w:before="7"/>
        <w:rPr>
          <w:b/>
        </w:rPr>
      </w:pPr>
    </w:p>
    <w:p w:rsidR="00570E25" w:rsidRDefault="008600F3">
      <w:pPr>
        <w:pStyle w:val="ListParagraph"/>
        <w:numPr>
          <w:ilvl w:val="0"/>
          <w:numId w:val="1"/>
        </w:numPr>
        <w:tabs>
          <w:tab w:val="left" w:pos="857"/>
          <w:tab w:val="left" w:pos="858"/>
        </w:tabs>
        <w:spacing w:line="237" w:lineRule="auto"/>
        <w:ind w:right="851"/>
      </w:pPr>
      <w:r>
        <w:t>Patients should be skeletally mature (i.e. they should be 19 and have completed puberty).</w:t>
      </w:r>
    </w:p>
    <w:p w:rsidR="00570E25" w:rsidRDefault="008600F3">
      <w:pPr>
        <w:pStyle w:val="Heading2"/>
        <w:spacing w:line="251" w:lineRule="exact"/>
        <w:ind w:left="859"/>
      </w:pPr>
      <w:r>
        <w:t>AND</w:t>
      </w:r>
    </w:p>
    <w:p w:rsidR="00570E25" w:rsidRDefault="008600F3">
      <w:pPr>
        <w:pStyle w:val="ListParagraph"/>
        <w:numPr>
          <w:ilvl w:val="0"/>
          <w:numId w:val="1"/>
        </w:numPr>
        <w:tabs>
          <w:tab w:val="left" w:pos="857"/>
          <w:tab w:val="left" w:pos="858"/>
        </w:tabs>
        <w:spacing w:line="268" w:lineRule="exact"/>
        <w:ind w:hanging="361"/>
      </w:pPr>
      <w:r>
        <w:t xml:space="preserve">Have severe symptoms typical of </w:t>
      </w:r>
      <w:proofErr w:type="spellStart"/>
      <w:r>
        <w:t>Femoro</w:t>
      </w:r>
      <w:proofErr w:type="spellEnd"/>
      <w:r>
        <w:t>-acetabular Impingement (FAI)</w:t>
      </w:r>
      <w:r>
        <w:rPr>
          <w:spacing w:val="26"/>
        </w:rPr>
        <w:t xml:space="preserve"> </w:t>
      </w:r>
      <w:r>
        <w:t>with:</w:t>
      </w:r>
    </w:p>
    <w:p w:rsidR="00570E25" w:rsidRDefault="008600F3">
      <w:pPr>
        <w:pStyle w:val="ListParagraph"/>
        <w:numPr>
          <w:ilvl w:val="1"/>
          <w:numId w:val="1"/>
        </w:numPr>
        <w:tabs>
          <w:tab w:val="left" w:pos="1577"/>
          <w:tab w:val="left" w:pos="1578"/>
        </w:tabs>
        <w:spacing w:before="17" w:line="220" w:lineRule="auto"/>
        <w:ind w:right="476"/>
      </w:pPr>
      <w:r>
        <w:t>The symptoms lasting for a period of least six months (clearly detailed throughout the patient’s primary care record or via Musculoskeletal Services’ letters or other clinic</w:t>
      </w:r>
      <w:r>
        <w:rPr>
          <w:spacing w:val="-11"/>
        </w:rPr>
        <w:t xml:space="preserve"> </w:t>
      </w:r>
      <w:r>
        <w:t>letters).</w:t>
      </w:r>
    </w:p>
    <w:p w:rsidR="00570E25" w:rsidRDefault="008600F3">
      <w:pPr>
        <w:pStyle w:val="Heading2"/>
        <w:spacing w:line="250" w:lineRule="exact"/>
        <w:ind w:left="1577"/>
      </w:pPr>
      <w:r>
        <w:t>OR</w:t>
      </w:r>
    </w:p>
    <w:p w:rsidR="00570E25" w:rsidRDefault="008600F3">
      <w:pPr>
        <w:pStyle w:val="ListParagraph"/>
        <w:numPr>
          <w:ilvl w:val="1"/>
          <w:numId w:val="1"/>
        </w:numPr>
        <w:tabs>
          <w:tab w:val="left" w:pos="1577"/>
          <w:tab w:val="left" w:pos="1578"/>
        </w:tabs>
        <w:spacing w:before="22" w:line="223" w:lineRule="auto"/>
        <w:ind w:right="534"/>
      </w:pPr>
      <w:r>
        <w:t>Compromised function, which requires urgent treatment within a 6-8 month time</w:t>
      </w:r>
      <w:r>
        <w:rPr>
          <w:spacing w:val="-10"/>
        </w:rPr>
        <w:t xml:space="preserve"> </w:t>
      </w:r>
      <w:r>
        <w:t>frame,</w:t>
      </w:r>
    </w:p>
    <w:p w:rsidR="00570E25" w:rsidRDefault="008600F3">
      <w:pPr>
        <w:pStyle w:val="Heading2"/>
        <w:spacing w:line="252" w:lineRule="exact"/>
        <w:ind w:left="1577"/>
      </w:pPr>
      <w:r>
        <w:t>OR</w:t>
      </w:r>
    </w:p>
    <w:p w:rsidR="00570E25" w:rsidRDefault="008600F3">
      <w:pPr>
        <w:pStyle w:val="ListParagraph"/>
        <w:numPr>
          <w:ilvl w:val="1"/>
          <w:numId w:val="1"/>
        </w:numPr>
        <w:tabs>
          <w:tab w:val="left" w:pos="1577"/>
          <w:tab w:val="left" w:pos="1578"/>
        </w:tabs>
        <w:spacing w:before="17" w:line="223" w:lineRule="auto"/>
        <w:ind w:right="270"/>
      </w:pPr>
      <w:r>
        <w:t>Where failure to treat early is likely to significantly compromise surgical options at a future</w:t>
      </w:r>
      <w:r>
        <w:rPr>
          <w:spacing w:val="-9"/>
        </w:rPr>
        <w:t xml:space="preserve"> </w:t>
      </w:r>
      <w:r>
        <w:t>date.</w:t>
      </w:r>
    </w:p>
    <w:p w:rsidR="00570E25" w:rsidRDefault="00570E25">
      <w:pPr>
        <w:pStyle w:val="BodyText"/>
        <w:spacing w:before="6"/>
        <w:rPr>
          <w:sz w:val="21"/>
        </w:rPr>
      </w:pPr>
    </w:p>
    <w:p w:rsidR="00570E25" w:rsidRDefault="008600F3">
      <w:pPr>
        <w:pStyle w:val="Heading2"/>
        <w:spacing w:before="1"/>
      </w:pPr>
      <w:r>
        <w:t>Exclusions</w:t>
      </w:r>
    </w:p>
    <w:p w:rsidR="00570E25" w:rsidRDefault="008600F3">
      <w:pPr>
        <w:pStyle w:val="BodyText"/>
        <w:spacing w:before="8"/>
        <w:ind w:left="240" w:right="1277"/>
      </w:pPr>
      <w:r>
        <w:t xml:space="preserve">The CCG will not routinely fund hip arthroscopy in patients with </w:t>
      </w:r>
      <w:proofErr w:type="spellStart"/>
      <w:r>
        <w:t>femoro</w:t>
      </w:r>
      <w:proofErr w:type="spellEnd"/>
      <w:r>
        <w:t>-acetabular impingement where any of the following criteria apply:</w:t>
      </w:r>
    </w:p>
    <w:p w:rsidR="00570E25" w:rsidRDefault="008600F3">
      <w:pPr>
        <w:pStyle w:val="ListParagraph"/>
        <w:numPr>
          <w:ilvl w:val="0"/>
          <w:numId w:val="1"/>
        </w:numPr>
        <w:tabs>
          <w:tab w:val="left" w:pos="857"/>
          <w:tab w:val="left" w:pos="858"/>
        </w:tabs>
        <w:spacing w:before="3" w:line="237" w:lineRule="auto"/>
        <w:ind w:right="228"/>
      </w:pPr>
      <w:r>
        <w:t>Patients with advanced osteoarthritic change on preoperative X-ray or severe cartilage injury.</w:t>
      </w:r>
    </w:p>
    <w:p w:rsidR="00570E25" w:rsidRDefault="008600F3">
      <w:pPr>
        <w:pStyle w:val="ListParagraph"/>
        <w:numPr>
          <w:ilvl w:val="0"/>
          <w:numId w:val="1"/>
        </w:numPr>
        <w:tabs>
          <w:tab w:val="left" w:pos="857"/>
          <w:tab w:val="left" w:pos="858"/>
        </w:tabs>
        <w:spacing w:before="4" w:line="237" w:lineRule="auto"/>
        <w:ind w:right="265"/>
      </w:pPr>
      <w:r>
        <w:t>Patients with a joint space on plain radiograph of the pelvis that is less than 2mm wide anywhere along the</w:t>
      </w:r>
      <w:r>
        <w:rPr>
          <w:spacing w:val="-10"/>
        </w:rPr>
        <w:t xml:space="preserve"> </w:t>
      </w:r>
      <w:proofErr w:type="spellStart"/>
      <w:r>
        <w:t>sourcil</w:t>
      </w:r>
      <w:proofErr w:type="spellEnd"/>
      <w:r>
        <w:t>.</w:t>
      </w:r>
    </w:p>
    <w:p w:rsidR="00570E25" w:rsidRDefault="008600F3">
      <w:pPr>
        <w:pStyle w:val="ListParagraph"/>
        <w:numPr>
          <w:ilvl w:val="0"/>
          <w:numId w:val="1"/>
        </w:numPr>
        <w:tabs>
          <w:tab w:val="left" w:pos="857"/>
          <w:tab w:val="left" w:pos="858"/>
        </w:tabs>
        <w:spacing w:line="266" w:lineRule="exact"/>
        <w:ind w:hanging="361"/>
      </w:pPr>
      <w:r>
        <w:t>Patients who are a candidate for hip</w:t>
      </w:r>
      <w:r>
        <w:rPr>
          <w:spacing w:val="-17"/>
        </w:rPr>
        <w:t xml:space="preserve"> </w:t>
      </w:r>
      <w:r>
        <w:t>replacement.</w:t>
      </w:r>
    </w:p>
    <w:p w:rsidR="00570E25" w:rsidRDefault="008600F3">
      <w:pPr>
        <w:pStyle w:val="ListParagraph"/>
        <w:numPr>
          <w:ilvl w:val="0"/>
          <w:numId w:val="1"/>
        </w:numPr>
        <w:tabs>
          <w:tab w:val="left" w:pos="857"/>
          <w:tab w:val="left" w:pos="858"/>
        </w:tabs>
        <w:spacing w:line="269" w:lineRule="exact"/>
        <w:ind w:hanging="361"/>
      </w:pPr>
      <w:r>
        <w:t>Any patient with severe hip dysplasia or with a Crowe grading classification of</w:t>
      </w:r>
      <w:r>
        <w:rPr>
          <w:spacing w:val="-30"/>
        </w:rPr>
        <w:t xml:space="preserve"> </w:t>
      </w:r>
      <w:r>
        <w:t>4.</w:t>
      </w:r>
    </w:p>
    <w:p w:rsidR="00570E25" w:rsidRDefault="008600F3">
      <w:pPr>
        <w:pStyle w:val="ListParagraph"/>
        <w:numPr>
          <w:ilvl w:val="0"/>
          <w:numId w:val="1"/>
        </w:numPr>
        <w:tabs>
          <w:tab w:val="left" w:pos="857"/>
          <w:tab w:val="left" w:pos="858"/>
        </w:tabs>
        <w:spacing w:line="269" w:lineRule="exact"/>
        <w:ind w:hanging="361"/>
      </w:pPr>
      <w:r>
        <w:t>Patients with osteogenesis</w:t>
      </w:r>
      <w:r>
        <w:rPr>
          <w:spacing w:val="-10"/>
        </w:rPr>
        <w:t xml:space="preserve"> </w:t>
      </w:r>
      <w:r>
        <w:t>imperfecta.</w:t>
      </w:r>
    </w:p>
    <w:p w:rsidR="00570E25" w:rsidRDefault="00570E25">
      <w:pPr>
        <w:spacing w:line="269" w:lineRule="exact"/>
        <w:sectPr w:rsidR="00570E25">
          <w:headerReference w:type="default" r:id="rId10"/>
          <w:footerReference w:type="default" r:id="rId11"/>
          <w:type w:val="continuous"/>
          <w:pgSz w:w="11930" w:h="16860"/>
          <w:pgMar w:top="1520" w:right="1220" w:bottom="1180" w:left="1200" w:header="420" w:footer="986" w:gutter="0"/>
          <w:pgNumType w:start="1"/>
          <w:cols w:space="720"/>
        </w:sectPr>
      </w:pPr>
    </w:p>
    <w:p w:rsidR="00570E25" w:rsidRDefault="008600F3">
      <w:pPr>
        <w:pStyle w:val="BodyText"/>
        <w:spacing w:before="7"/>
        <w:rPr>
          <w:sz w:val="23"/>
        </w:rPr>
      </w:pPr>
      <w:r>
        <w:rPr>
          <w:noProof/>
          <w:lang w:bidi="ar-SA"/>
        </w:rPr>
        <w:lastRenderedPageBreak/>
        <mc:AlternateContent>
          <mc:Choice Requires="wps">
            <w:drawing>
              <wp:anchor distT="0" distB="0" distL="114300" distR="114300" simplePos="0" relativeHeight="251414528" behindDoc="1" locked="0" layoutInCell="1" allowOverlap="1">
                <wp:simplePos x="0" y="0"/>
                <wp:positionH relativeFrom="page">
                  <wp:posOffset>276225</wp:posOffset>
                </wp:positionH>
                <wp:positionV relativeFrom="page">
                  <wp:posOffset>180975</wp:posOffset>
                </wp:positionV>
                <wp:extent cx="2638425" cy="904875"/>
                <wp:effectExtent l="0" t="0" r="0" b="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8425" cy="9048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1.75pt;margin-top:14.25pt;width:207.75pt;height:71.25pt;z-index:-251901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" filled="f">
                <w10:wrap anchorx="page" anchory="page"/>
              </v:rect>
            </w:pict>
          </mc:Fallback>
        </mc:AlternateContent>
      </w:r>
    </w:p>
    <w:p w:rsidR="00570E25" w:rsidRDefault="008600F3">
      <w:pPr>
        <w:pStyle w:val="Heading2"/>
        <w:spacing w:before="93"/>
      </w:pPr>
      <w:r>
        <w:rPr>
          <w:noProof/>
          <w:lang w:bidi="ar-SA"/>
        </w:rPr>
        <mc:AlternateContent>
          <mc:Choice Requires="wps">
            <w:drawing>
              <wp:anchor distT="0" distB="0" distL="0" distR="0" simplePos="0" relativeHeight="251661312" behindDoc="1" locked="0" layoutInCell="1" allowOverlap="1">
                <wp:simplePos x="0" y="0"/>
                <wp:positionH relativeFrom="page">
                  <wp:posOffset>842645</wp:posOffset>
                </wp:positionH>
                <wp:positionV relativeFrom="paragraph">
                  <wp:posOffset>269875</wp:posOffset>
                </wp:positionV>
                <wp:extent cx="5869940" cy="953770"/>
                <wp:effectExtent l="0" t="0" r="16510" b="17780"/>
                <wp:wrapTopAndBottom/>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9940" cy="95377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450AC" w:rsidRDefault="00C450AC" w:rsidP="00C450AC">
                            <w:pPr>
                              <w:rPr>
                                <w:rFonts w:ascii="Helvetica" w:hAnsi="Helvetica" w:cs="Helvetica"/>
                                <w:shd w:val="clear" w:color="auto" w:fill="FAFAFB"/>
                              </w:rPr>
                            </w:pPr>
                            <w:bookmarkStart w:id="0" w:name="_GoBack"/>
                          </w:p>
                          <w:p w:rsidR="00C450AC" w:rsidRPr="00C450AC" w:rsidRDefault="00C450AC" w:rsidP="00C450AC">
                            <w:pPr>
                              <w:ind w:left="57"/>
                            </w:pPr>
                            <w:r w:rsidRPr="00EB3E69">
                              <w:rPr>
                                <w:rFonts w:ascii="Helvetica" w:hAnsi="Helvetica" w:cs="Helvetica"/>
                                <w:shd w:val="clear" w:color="auto" w:fill="FAFAFB"/>
                              </w:rPr>
                              <w:t xml:space="preserve">Current evidence on the efficacy of arthroscopic </w:t>
                            </w:r>
                            <w:proofErr w:type="spellStart"/>
                            <w:r w:rsidRPr="00EB3E69">
                              <w:rPr>
                                <w:rFonts w:ascii="Helvetica" w:hAnsi="Helvetica" w:cs="Helvetica"/>
                                <w:shd w:val="clear" w:color="auto" w:fill="FAFAFB"/>
                              </w:rPr>
                              <w:t>femoro</w:t>
                            </w:r>
                            <w:proofErr w:type="spellEnd"/>
                            <w:r w:rsidRPr="00EB3E69">
                              <w:rPr>
                                <w:rFonts w:ascii="Helvetica" w:hAnsi="Helvetica" w:cs="Helvetica"/>
                                <w:shd w:val="clear" w:color="auto" w:fill="FAFAFB"/>
                              </w:rPr>
                              <w:t>–acetabular surgery for hip impingement syndrome is adequate in terms of symptom relief in the short and medium term. With regard to safety, there are well recognised complications. This policy outlines when this procedure is likely to be most beneficial. (</w:t>
                            </w:r>
                            <w:r w:rsidRPr="00EB3E69">
                              <w:t>NICE guidance IPG408 2011 and IPG408 2011)</w:t>
                            </w:r>
                          </w:p>
                          <w:bookmarkEnd w:id="0"/>
                          <w:p w:rsidR="00570E25" w:rsidRDefault="00570E25" w:rsidP="00C450AC">
                            <w:pPr>
                              <w:pStyle w:val="BodyText"/>
                              <w:ind w:left="57" w:right="147"/>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66.35pt;margin-top:21.25pt;width:462.2pt;height:75.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" filled="f" strokeweight=".48pt">
                <v:textbox inset="0,0,0,0">
                  <w:txbxContent>
                    <w:p w:rsidR="00C450AC" w:rsidRDefault="00C450AC" w:rsidP="00C450AC">
                      <w:pPr>
                        <w:rPr>
                          <w:rFonts w:ascii="Helvetica" w:hAnsi="Helvetica" w:cs="Helvetica"/>
                          <w:shd w:val="clear" w:color="auto" w:fill="FAFAFB"/>
                        </w:rPr>
                      </w:pPr>
                      <w:bookmarkStart w:id="1" w:name="_GoBack"/>
                    </w:p>
                    <w:p w:rsidR="00C450AC" w:rsidRPr="00C450AC" w:rsidRDefault="00C450AC" w:rsidP="00C450AC">
                      <w:pPr>
                        <w:ind w:left="57"/>
                      </w:pPr>
                      <w:r w:rsidRPr="00EB3E69">
                        <w:rPr>
                          <w:rFonts w:ascii="Helvetica" w:hAnsi="Helvetica" w:cs="Helvetica"/>
                          <w:shd w:val="clear" w:color="auto" w:fill="FAFAFB"/>
                        </w:rPr>
                        <w:t xml:space="preserve">Current evidence on the efficacy of arthroscopic </w:t>
                      </w:r>
                      <w:proofErr w:type="spellStart"/>
                      <w:r w:rsidRPr="00EB3E69">
                        <w:rPr>
                          <w:rFonts w:ascii="Helvetica" w:hAnsi="Helvetica" w:cs="Helvetica"/>
                          <w:shd w:val="clear" w:color="auto" w:fill="FAFAFB"/>
                        </w:rPr>
                        <w:t>femoro</w:t>
                      </w:r>
                      <w:proofErr w:type="spellEnd"/>
                      <w:r w:rsidRPr="00EB3E69">
                        <w:rPr>
                          <w:rFonts w:ascii="Helvetica" w:hAnsi="Helvetica" w:cs="Helvetica"/>
                          <w:shd w:val="clear" w:color="auto" w:fill="FAFAFB"/>
                        </w:rPr>
                        <w:t>–acetabular surgery for hip impingement syndrome is adequate in terms of symptom relief in the short and medium term. With regard to safety, there are well recognised complications. This policy outlines when this procedure is likely to be most beneficial. (</w:t>
                      </w:r>
                      <w:r w:rsidRPr="00EB3E69">
                        <w:t>NICE guidance IPG408 2011 and IPG408 2011)</w:t>
                      </w:r>
                    </w:p>
                    <w:bookmarkEnd w:id="1"/>
                    <w:p w:rsidR="00570E25" w:rsidRDefault="00570E25" w:rsidP="00C450AC">
                      <w:pPr>
                        <w:pStyle w:val="BodyText"/>
                        <w:ind w:left="57" w:right="147"/>
                      </w:pPr>
                    </w:p>
                  </w:txbxContent>
                </v:textbox>
                <w10:wrap type="topAndBottom" anchorx="page"/>
              </v:shape>
            </w:pict>
          </mc:Fallback>
        </mc:AlternateContent>
      </w:r>
      <w:r>
        <w:t>Rationale:</w:t>
      </w:r>
    </w:p>
    <w:p w:rsidR="00570E25" w:rsidRDefault="008600F3">
      <w:pPr>
        <w:spacing w:before="215" w:after="76"/>
        <w:ind w:left="240"/>
        <w:rPr>
          <w:b/>
        </w:rPr>
      </w:pPr>
      <w:r>
        <w:rPr>
          <w:b/>
        </w:rPr>
        <w:t>Plain English Summary:</w:t>
      </w:r>
    </w:p>
    <w:p w:rsidR="00570E25" w:rsidRDefault="008600F3">
      <w:pPr>
        <w:pStyle w:val="BodyText"/>
        <w:ind w:left="127"/>
        <w:rPr>
          <w:sz w:val="20"/>
        </w:rPr>
      </w:pPr>
      <w:r>
        <w:rPr>
          <w:noProof/>
          <w:sz w:val="20"/>
          <w:lang w:bidi="ar-SA"/>
        </w:rPr>
        <mc:AlternateContent>
          <mc:Choice Requires="wps">
            <w:drawing>
              <wp:inline distT="0" distB="0" distL="0" distR="0">
                <wp:extent cx="5869940" cy="1296063"/>
                <wp:effectExtent l="0" t="0" r="16510" b="18415"/>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9940" cy="1296063"/>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450AC" w:rsidRPr="00C450AC" w:rsidRDefault="00C450AC" w:rsidP="00C450AC">
                            <w:pPr>
                              <w:ind w:left="57"/>
                            </w:pPr>
                            <w:r w:rsidRPr="00C450AC">
                              <w:t>Hip arthroscopy is a surgical procedure that enables doctors to look inside the hip joint. A small camera is used, along with some very small surgical instruments which enable the diagnosis and treat of some problems identified within the hip, such as the removal of small pieces of cartilage or bone. It does not require a large cut through the skin and other soft tissues which means the recovery time for the patient is shorter than a full operation.</w:t>
                            </w:r>
                          </w:p>
                          <w:p w:rsidR="00C450AC" w:rsidRPr="00C450AC" w:rsidRDefault="00C450AC" w:rsidP="00C450AC">
                            <w:pPr>
                              <w:ind w:left="57"/>
                            </w:pPr>
                            <w:r w:rsidRPr="00C450AC">
                              <w:t>This procedure may be used in situations outlined in this policy, when it is considered that symptoms have not responded to conservative treatment for symptom management and a major surgery is not required.</w:t>
                            </w:r>
                          </w:p>
                          <w:p w:rsidR="00570E25" w:rsidRPr="00C450AC" w:rsidRDefault="00570E25">
                            <w:pPr>
                              <w:pStyle w:val="BodyText"/>
                              <w:ind w:left="103" w:right="355"/>
                            </w:pPr>
                          </w:p>
                        </w:txbxContent>
                      </wps:txbx>
                      <wps:bodyPr rot="0" vert="horz" wrap="square" lIns="0" tIns="0" rIns="0" bIns="0" anchor="t" anchorCtr="0" upright="1">
                        <a:noAutofit/>
                      </wps:bodyPr>
                    </wps:wsp>
                  </a:graphicData>
                </a:graphic>
              </wp:inline>
            </w:drawing>
          </mc:Choice>
          <mc:Fallback>
            <w:pict>
              <v:shape id="Text Box 3" o:spid="_x0000_s1027" type="#_x0000_t202" style="width:462.2pt;height:10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" filled="f" strokeweight=".48pt">
                <v:textbox inset="0,0,0,0">
                  <w:txbxContent>
                    <w:p w:rsidR="00C450AC" w:rsidRPr="00C450AC" w:rsidRDefault="00C450AC" w:rsidP="00C450AC">
                      <w:pPr>
                        <w:ind w:left="57"/>
                      </w:pPr>
                      <w:r w:rsidRPr="00C450AC">
                        <w:t>Hip arthroscopy is a surgical procedure that enables doctors to look inside the hip joint. A small camera is used, along with some very small surgical instruments which enable the diagnosis and treat of some problems identified within the hip, such as the removal of small pieces of cartilage or bone. It does not require a large cut through the skin and other soft tissues which means the recovery time for the patient is shorter than a full operation.</w:t>
                      </w:r>
                    </w:p>
                    <w:p w:rsidR="00C450AC" w:rsidRPr="00C450AC" w:rsidRDefault="00C450AC" w:rsidP="00C450AC">
                      <w:pPr>
                        <w:ind w:left="57"/>
                      </w:pPr>
                      <w:r w:rsidRPr="00C450AC">
                        <w:t>This procedure may be used in situations outlined in this policy, when it is considered that symptoms have not responded to conservative treatment for symptom management and a major surgery is not required.</w:t>
                      </w:r>
                    </w:p>
                    <w:p w:rsidR="00570E25" w:rsidRPr="00C450AC" w:rsidRDefault="00570E25">
                      <w:pPr>
                        <w:pStyle w:val="BodyText"/>
                        <w:ind w:left="103" w:right="355"/>
                      </w:pPr>
                    </w:p>
                  </w:txbxContent>
                </v:textbox>
                <w10:anchorlock/>
              </v:shape>
            </w:pict>
          </mc:Fallback>
        </mc:AlternateContent>
      </w:r>
    </w:p>
    <w:p w:rsidR="00570E25" w:rsidRDefault="008600F3">
      <w:pPr>
        <w:spacing w:before="141"/>
        <w:ind w:left="240"/>
        <w:rPr>
          <w:b/>
        </w:rPr>
      </w:pPr>
      <w:r>
        <w:rPr>
          <w:noProof/>
          <w:lang w:bidi="ar-SA"/>
        </w:rPr>
        <mc:AlternateContent>
          <mc:Choice Requires="wps">
            <w:drawing>
              <wp:anchor distT="0" distB="0" distL="0" distR="0" simplePos="0" relativeHeight="251663360" behindDoc="1" locked="0" layoutInCell="1" allowOverlap="1">
                <wp:simplePos x="0" y="0"/>
                <wp:positionH relativeFrom="page">
                  <wp:posOffset>850265</wp:posOffset>
                </wp:positionH>
                <wp:positionV relativeFrom="paragraph">
                  <wp:posOffset>302260</wp:posOffset>
                </wp:positionV>
                <wp:extent cx="5869940" cy="930275"/>
                <wp:effectExtent l="0" t="0" r="16510" b="22225"/>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9940" cy="93027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450AC" w:rsidRPr="00C450AC" w:rsidRDefault="00C450AC" w:rsidP="00C450AC">
                            <w:pPr>
                              <w:pStyle w:val="BodyText"/>
                              <w:ind w:left="104" w:right="782"/>
                            </w:pPr>
                            <w:r w:rsidRPr="00C450AC">
                              <w:t>NICE IPG 403</w:t>
                            </w:r>
                            <w:r w:rsidRPr="00C450AC" w:rsidDel="00ED2F6F">
                              <w:t xml:space="preserve"> </w:t>
                            </w:r>
                            <w:hyperlink r:id="rId12" w:history="1">
                              <w:r w:rsidRPr="00C450AC">
                                <w:rPr>
                                  <w:rStyle w:val="Hyperlink"/>
                                  <w:color w:val="auto"/>
                                </w:rPr>
                                <w:t xml:space="preserve">Open </w:t>
                              </w:r>
                              <w:proofErr w:type="spellStart"/>
                              <w:r w:rsidRPr="00C450AC">
                                <w:rPr>
                                  <w:rStyle w:val="Hyperlink"/>
                                  <w:color w:val="auto"/>
                                </w:rPr>
                                <w:t>femoro</w:t>
                              </w:r>
                              <w:proofErr w:type="spellEnd"/>
                              <w:r w:rsidRPr="00C450AC">
                                <w:rPr>
                                  <w:rStyle w:val="Hyperlink"/>
                                  <w:color w:val="auto"/>
                                </w:rPr>
                                <w:t>–acetabular surgery for hip impingement syndrome</w:t>
                              </w:r>
                            </w:hyperlink>
                            <w:r w:rsidRPr="00C450AC">
                              <w:t xml:space="preserve"> July 2011</w:t>
                            </w:r>
                          </w:p>
                          <w:p w:rsidR="00570E25" w:rsidRDefault="00570E25">
                            <w:pPr>
                              <w:pStyle w:val="BodyText"/>
                              <w:spacing w:before="9"/>
                              <w:rPr>
                                <w:sz w:val="21"/>
                              </w:rPr>
                            </w:pPr>
                          </w:p>
                          <w:p w:rsidR="00C450AC" w:rsidRPr="00C450AC" w:rsidRDefault="00C450AC" w:rsidP="00C450AC">
                            <w:pPr>
                              <w:pStyle w:val="BodyText"/>
                              <w:spacing w:before="1" w:line="244" w:lineRule="auto"/>
                              <w:ind w:left="104" w:right="269"/>
                            </w:pPr>
                            <w:r w:rsidRPr="00C450AC">
                              <w:t xml:space="preserve">NICE IPG 408 </w:t>
                            </w:r>
                            <w:hyperlink r:id="rId13" w:history="1">
                              <w:r w:rsidRPr="00C450AC">
                                <w:rPr>
                                  <w:rStyle w:val="Hyperlink"/>
                                  <w:color w:val="auto"/>
                                </w:rPr>
                                <w:t xml:space="preserve">Arthroscopic </w:t>
                              </w:r>
                              <w:proofErr w:type="spellStart"/>
                              <w:r w:rsidRPr="00C450AC">
                                <w:rPr>
                                  <w:rStyle w:val="Hyperlink"/>
                                  <w:color w:val="auto"/>
                                </w:rPr>
                                <w:t>femoro</w:t>
                              </w:r>
                              <w:proofErr w:type="spellEnd"/>
                              <w:r w:rsidRPr="00C450AC">
                                <w:rPr>
                                  <w:rStyle w:val="Hyperlink"/>
                                  <w:color w:val="auto"/>
                                </w:rPr>
                                <w:t>–acetabular surgery for hip impingement syndrome</w:t>
                              </w:r>
                            </w:hyperlink>
                            <w:r w:rsidRPr="00C450AC">
                              <w:t xml:space="preserve"> Sept 2011</w:t>
                            </w:r>
                          </w:p>
                          <w:p w:rsidR="00C450AC" w:rsidRDefault="00C450AC">
                            <w:pPr>
                              <w:pStyle w:val="BodyText"/>
                              <w:spacing w:before="9"/>
                              <w:rPr>
                                <w:sz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66.95pt;margin-top:23.8pt;width:462.2pt;height:73.2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" filled="f" strokeweight=".48pt">
                <v:textbox inset="0,0,0,0">
                  <w:txbxContent>
                    <w:p w:rsidR="00C450AC" w:rsidRPr="00C450AC" w:rsidRDefault="00C450AC" w:rsidP="00C450AC">
                      <w:pPr>
                        <w:pStyle w:val="BodyText"/>
                        <w:ind w:left="104" w:right="782"/>
                      </w:pPr>
                      <w:r w:rsidRPr="00C450AC">
                        <w:t>NICE IPG 403</w:t>
                      </w:r>
                      <w:r w:rsidRPr="00C450AC" w:rsidDel="00ED2F6F">
                        <w:t xml:space="preserve"> </w:t>
                      </w:r>
                      <w:hyperlink r:id="rId14" w:history="1">
                        <w:r w:rsidRPr="00C450AC">
                          <w:rPr>
                            <w:rStyle w:val="Hyperlink"/>
                            <w:color w:val="auto"/>
                          </w:rPr>
                          <w:t xml:space="preserve">Open </w:t>
                        </w:r>
                        <w:proofErr w:type="spellStart"/>
                        <w:r w:rsidRPr="00C450AC">
                          <w:rPr>
                            <w:rStyle w:val="Hyperlink"/>
                            <w:color w:val="auto"/>
                          </w:rPr>
                          <w:t>femoro</w:t>
                        </w:r>
                        <w:proofErr w:type="spellEnd"/>
                        <w:r w:rsidRPr="00C450AC">
                          <w:rPr>
                            <w:rStyle w:val="Hyperlink"/>
                            <w:color w:val="auto"/>
                          </w:rPr>
                          <w:t>–acetabular surgery for hip impingement syndrome</w:t>
                        </w:r>
                      </w:hyperlink>
                      <w:r w:rsidRPr="00C450AC">
                        <w:t xml:space="preserve"> July 2011</w:t>
                      </w:r>
                    </w:p>
                    <w:p w:rsidR="00570E25" w:rsidRDefault="00570E25">
                      <w:pPr>
                        <w:pStyle w:val="BodyText"/>
                        <w:spacing w:before="9"/>
                        <w:rPr>
                          <w:sz w:val="21"/>
                        </w:rPr>
                      </w:pPr>
                    </w:p>
                    <w:p w:rsidR="00C450AC" w:rsidRPr="00C450AC" w:rsidRDefault="00C450AC" w:rsidP="00C450AC">
                      <w:pPr>
                        <w:pStyle w:val="BodyText"/>
                        <w:spacing w:before="1" w:line="244" w:lineRule="auto"/>
                        <w:ind w:left="104" w:right="269"/>
                      </w:pPr>
                      <w:r w:rsidRPr="00C450AC">
                        <w:t xml:space="preserve">NICE IPG 408 </w:t>
                      </w:r>
                      <w:hyperlink r:id="rId15" w:history="1">
                        <w:r w:rsidRPr="00C450AC">
                          <w:rPr>
                            <w:rStyle w:val="Hyperlink"/>
                            <w:color w:val="auto"/>
                          </w:rPr>
                          <w:t xml:space="preserve">Arthroscopic </w:t>
                        </w:r>
                        <w:proofErr w:type="spellStart"/>
                        <w:r w:rsidRPr="00C450AC">
                          <w:rPr>
                            <w:rStyle w:val="Hyperlink"/>
                            <w:color w:val="auto"/>
                          </w:rPr>
                          <w:t>femoro</w:t>
                        </w:r>
                        <w:proofErr w:type="spellEnd"/>
                        <w:r w:rsidRPr="00C450AC">
                          <w:rPr>
                            <w:rStyle w:val="Hyperlink"/>
                            <w:color w:val="auto"/>
                          </w:rPr>
                          <w:t>–acetabular surgery for hip impingement syndrome</w:t>
                        </w:r>
                      </w:hyperlink>
                      <w:r w:rsidRPr="00C450AC">
                        <w:t xml:space="preserve"> Sept 2011</w:t>
                      </w:r>
                    </w:p>
                    <w:p w:rsidR="00C450AC" w:rsidRDefault="00C450AC">
                      <w:pPr>
                        <w:pStyle w:val="BodyText"/>
                        <w:spacing w:before="9"/>
                        <w:rPr>
                          <w:sz w:val="21"/>
                        </w:rPr>
                      </w:pPr>
                    </w:p>
                  </w:txbxContent>
                </v:textbox>
                <w10:wrap type="topAndBottom" anchorx="page"/>
              </v:shape>
            </w:pict>
          </mc:Fallback>
        </mc:AlternateContent>
      </w:r>
      <w:r>
        <w:rPr>
          <w:b/>
        </w:rPr>
        <w:t>Evidence base:</w:t>
      </w:r>
    </w:p>
    <w:p w:rsidR="00570E25" w:rsidRDefault="00570E25">
      <w:pPr>
        <w:pStyle w:val="BodyText"/>
        <w:spacing w:before="9"/>
        <w:rPr>
          <w:b/>
          <w:sz w:val="19"/>
        </w:rPr>
      </w:pPr>
    </w:p>
    <w:p w:rsidR="00570E25" w:rsidRDefault="008600F3">
      <w:pPr>
        <w:pStyle w:val="BodyText"/>
        <w:ind w:left="240"/>
      </w:pPr>
      <w:r>
        <w:t>Link to application form – Not applicable</w:t>
      </w:r>
    </w:p>
    <w:p w:rsidR="00570E25" w:rsidRDefault="008600F3">
      <w:pPr>
        <w:pStyle w:val="BodyText"/>
        <w:spacing w:before="40"/>
        <w:ind w:left="240"/>
      </w:pPr>
      <w:r>
        <w:t xml:space="preserve">For further information please contact </w:t>
      </w:r>
      <w:hyperlink r:id="rId16">
        <w:r>
          <w:rPr>
            <w:color w:val="0000FF"/>
            <w:u w:val="single" w:color="0000FF"/>
          </w:rPr>
          <w:t>GLCCG.IFR@nhs.net</w:t>
        </w:r>
      </w:hyperlink>
    </w:p>
    <w:p w:rsidR="00570E25" w:rsidRDefault="00570E25">
      <w:pPr>
        <w:pStyle w:val="BodyText"/>
        <w:rPr>
          <w:sz w:val="20"/>
        </w:rPr>
      </w:pPr>
    </w:p>
    <w:p w:rsidR="00570E25" w:rsidRDefault="00570E25">
      <w:pPr>
        <w:pStyle w:val="BodyText"/>
        <w:spacing w:before="8"/>
        <w:rPr>
          <w:sz w:val="11"/>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21"/>
        <w:gridCol w:w="6729"/>
      </w:tblGrid>
      <w:tr w:rsidR="00570E25">
        <w:trPr>
          <w:trHeight w:val="253"/>
        </w:trPr>
        <w:tc>
          <w:tcPr>
            <w:tcW w:w="2521" w:type="dxa"/>
          </w:tcPr>
          <w:p w:rsidR="00570E25" w:rsidRDefault="008600F3">
            <w:pPr>
              <w:pStyle w:val="TableParagraph"/>
              <w:spacing w:line="234" w:lineRule="exact"/>
              <w:ind w:left="110"/>
              <w:rPr>
                <w:b/>
              </w:rPr>
            </w:pPr>
            <w:r>
              <w:rPr>
                <w:b/>
              </w:rPr>
              <w:t>Date of publication</w:t>
            </w:r>
          </w:p>
        </w:tc>
        <w:tc>
          <w:tcPr>
            <w:tcW w:w="6729" w:type="dxa"/>
          </w:tcPr>
          <w:p w:rsidR="00570E25" w:rsidRDefault="008600F3">
            <w:pPr>
              <w:pStyle w:val="TableParagraph"/>
              <w:spacing w:line="234" w:lineRule="exact"/>
              <w:ind w:right="4948"/>
              <w:jc w:val="right"/>
              <w:rPr>
                <w:sz w:val="23"/>
              </w:rPr>
            </w:pPr>
            <w:r>
              <w:rPr>
                <w:sz w:val="23"/>
              </w:rPr>
              <w:t>December 2017</w:t>
            </w:r>
          </w:p>
        </w:tc>
      </w:tr>
      <w:tr w:rsidR="00570E25">
        <w:trPr>
          <w:trHeight w:val="253"/>
        </w:trPr>
        <w:tc>
          <w:tcPr>
            <w:tcW w:w="2521" w:type="dxa"/>
          </w:tcPr>
          <w:p w:rsidR="00570E25" w:rsidRDefault="008600F3">
            <w:pPr>
              <w:pStyle w:val="TableParagraph"/>
              <w:spacing w:line="234" w:lineRule="exact"/>
              <w:ind w:left="110"/>
              <w:rPr>
                <w:b/>
              </w:rPr>
            </w:pPr>
            <w:r>
              <w:rPr>
                <w:b/>
              </w:rPr>
              <w:t>Policy review date</w:t>
            </w:r>
          </w:p>
        </w:tc>
        <w:tc>
          <w:tcPr>
            <w:tcW w:w="6729" w:type="dxa"/>
          </w:tcPr>
          <w:p w:rsidR="00570E25" w:rsidRPr="00527B84" w:rsidRDefault="00527B84" w:rsidP="00355672">
            <w:pPr>
              <w:pStyle w:val="TableParagraph"/>
              <w:spacing w:line="234" w:lineRule="exact"/>
              <w:ind w:right="4883"/>
              <w:rPr>
                <w:strike/>
                <w:sz w:val="23"/>
              </w:rPr>
            </w:pPr>
            <w:r>
              <w:rPr>
                <w:sz w:val="23"/>
              </w:rPr>
              <w:t xml:space="preserve">  </w:t>
            </w:r>
            <w:r w:rsidR="00355672">
              <w:rPr>
                <w:sz w:val="23"/>
              </w:rPr>
              <w:t>May</w:t>
            </w:r>
            <w:r>
              <w:rPr>
                <w:sz w:val="23"/>
              </w:rPr>
              <w:t xml:space="preserve"> 2024</w:t>
            </w:r>
          </w:p>
        </w:tc>
      </w:tr>
    </w:tbl>
    <w:p w:rsidR="00570E25" w:rsidRDefault="00570E25">
      <w:pPr>
        <w:pStyle w:val="BodyText"/>
        <w:spacing w:before="6"/>
        <w:rPr>
          <w:sz w:val="26"/>
        </w:rPr>
      </w:pPr>
    </w:p>
    <w:p w:rsidR="00570E25" w:rsidRDefault="008600F3">
      <w:pPr>
        <w:pStyle w:val="Heading1"/>
        <w:spacing w:after="53"/>
      </w:pPr>
      <w:r>
        <w:t>Consultation</w:t>
      </w: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24"/>
        <w:gridCol w:w="3324"/>
      </w:tblGrid>
      <w:tr w:rsidR="00570E25">
        <w:trPr>
          <w:trHeight w:val="253"/>
        </w:trPr>
        <w:tc>
          <w:tcPr>
            <w:tcW w:w="5924" w:type="dxa"/>
          </w:tcPr>
          <w:p w:rsidR="00570E25" w:rsidRDefault="008600F3">
            <w:pPr>
              <w:pStyle w:val="TableParagraph"/>
              <w:spacing w:line="234" w:lineRule="exact"/>
              <w:ind w:left="110"/>
              <w:rPr>
                <w:b/>
              </w:rPr>
            </w:pPr>
            <w:r>
              <w:rPr>
                <w:b/>
              </w:rPr>
              <w:t>Consultee</w:t>
            </w:r>
          </w:p>
        </w:tc>
        <w:tc>
          <w:tcPr>
            <w:tcW w:w="3324" w:type="dxa"/>
          </w:tcPr>
          <w:p w:rsidR="00570E25" w:rsidRDefault="008600F3">
            <w:pPr>
              <w:pStyle w:val="TableParagraph"/>
              <w:spacing w:line="234" w:lineRule="exact"/>
              <w:ind w:left="107"/>
              <w:rPr>
                <w:b/>
              </w:rPr>
            </w:pPr>
            <w:r>
              <w:rPr>
                <w:b/>
              </w:rPr>
              <w:t>Date</w:t>
            </w:r>
          </w:p>
        </w:tc>
      </w:tr>
      <w:tr w:rsidR="00570E25">
        <w:trPr>
          <w:trHeight w:val="253"/>
        </w:trPr>
        <w:tc>
          <w:tcPr>
            <w:tcW w:w="5924" w:type="dxa"/>
          </w:tcPr>
          <w:p w:rsidR="00570E25" w:rsidRDefault="008600F3">
            <w:pPr>
              <w:pStyle w:val="TableParagraph"/>
              <w:spacing w:line="234" w:lineRule="exact"/>
              <w:ind w:left="110"/>
            </w:pPr>
            <w:r>
              <w:t>Planned Care Programme Board</w:t>
            </w:r>
          </w:p>
        </w:tc>
        <w:tc>
          <w:tcPr>
            <w:tcW w:w="3324" w:type="dxa"/>
          </w:tcPr>
          <w:p w:rsidR="00570E25" w:rsidRDefault="00570E25">
            <w:pPr>
              <w:pStyle w:val="TableParagraph"/>
              <w:rPr>
                <w:rFonts w:ascii="Times New Roman"/>
                <w:sz w:val="18"/>
              </w:rPr>
            </w:pPr>
          </w:p>
        </w:tc>
      </w:tr>
      <w:tr w:rsidR="00570E25">
        <w:trPr>
          <w:trHeight w:val="251"/>
        </w:trPr>
        <w:tc>
          <w:tcPr>
            <w:tcW w:w="5924" w:type="dxa"/>
          </w:tcPr>
          <w:p w:rsidR="00570E25" w:rsidRDefault="008600F3">
            <w:pPr>
              <w:pStyle w:val="TableParagraph"/>
              <w:spacing w:line="232" w:lineRule="exact"/>
              <w:ind w:left="110"/>
            </w:pPr>
            <w:r>
              <w:t>GP Membership (via What’s New This Week)</w:t>
            </w:r>
          </w:p>
        </w:tc>
        <w:tc>
          <w:tcPr>
            <w:tcW w:w="3324" w:type="dxa"/>
          </w:tcPr>
          <w:p w:rsidR="00570E25" w:rsidRDefault="00570E25">
            <w:pPr>
              <w:pStyle w:val="TableParagraph"/>
              <w:rPr>
                <w:rFonts w:ascii="Times New Roman"/>
                <w:sz w:val="18"/>
              </w:rPr>
            </w:pPr>
          </w:p>
        </w:tc>
      </w:tr>
      <w:tr w:rsidR="00570E25">
        <w:trPr>
          <w:trHeight w:val="254"/>
        </w:trPr>
        <w:tc>
          <w:tcPr>
            <w:tcW w:w="5924" w:type="dxa"/>
            <w:shd w:val="clear" w:color="auto" w:fill="C4B993"/>
          </w:tcPr>
          <w:p w:rsidR="00570E25" w:rsidRDefault="00570E25">
            <w:pPr>
              <w:pStyle w:val="TableParagraph"/>
              <w:rPr>
                <w:rFonts w:ascii="Times New Roman"/>
                <w:sz w:val="18"/>
              </w:rPr>
            </w:pPr>
          </w:p>
        </w:tc>
        <w:tc>
          <w:tcPr>
            <w:tcW w:w="3324" w:type="dxa"/>
            <w:shd w:val="clear" w:color="auto" w:fill="C4B993"/>
          </w:tcPr>
          <w:p w:rsidR="00570E25" w:rsidRDefault="00570E25">
            <w:pPr>
              <w:pStyle w:val="TableParagraph"/>
              <w:rPr>
                <w:rFonts w:ascii="Times New Roman"/>
                <w:sz w:val="18"/>
              </w:rPr>
            </w:pPr>
          </w:p>
        </w:tc>
      </w:tr>
      <w:tr w:rsidR="00570E25">
        <w:trPr>
          <w:trHeight w:val="253"/>
        </w:trPr>
        <w:tc>
          <w:tcPr>
            <w:tcW w:w="5924" w:type="dxa"/>
          </w:tcPr>
          <w:p w:rsidR="00570E25" w:rsidRDefault="008600F3">
            <w:pPr>
              <w:pStyle w:val="TableParagraph"/>
              <w:spacing w:line="234" w:lineRule="exact"/>
              <w:ind w:left="110"/>
            </w:pPr>
            <w:r>
              <w:t>Has the consultation included patient representatives?</w:t>
            </w:r>
          </w:p>
        </w:tc>
        <w:tc>
          <w:tcPr>
            <w:tcW w:w="3324" w:type="dxa"/>
          </w:tcPr>
          <w:p w:rsidR="00570E25" w:rsidRDefault="008600F3">
            <w:pPr>
              <w:pStyle w:val="TableParagraph"/>
              <w:spacing w:line="234" w:lineRule="exact"/>
              <w:ind w:left="107"/>
            </w:pPr>
            <w:r>
              <w:t>Yes (via ECCP membership)</w:t>
            </w:r>
          </w:p>
        </w:tc>
      </w:tr>
    </w:tbl>
    <w:p w:rsidR="00570E25" w:rsidRDefault="00570E25">
      <w:pPr>
        <w:pStyle w:val="BodyText"/>
        <w:spacing w:before="11"/>
        <w:rPr>
          <w:b/>
          <w:sz w:val="26"/>
        </w:rPr>
      </w:pPr>
    </w:p>
    <w:p w:rsidR="00570E25" w:rsidRDefault="008600F3">
      <w:pPr>
        <w:spacing w:after="50"/>
        <w:ind w:left="240"/>
        <w:rPr>
          <w:b/>
          <w:sz w:val="24"/>
        </w:rPr>
      </w:pPr>
      <w:r>
        <w:rPr>
          <w:b/>
          <w:sz w:val="24"/>
        </w:rPr>
        <w:t>Policy sign off</w:t>
      </w: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24"/>
        <w:gridCol w:w="3324"/>
      </w:tblGrid>
      <w:tr w:rsidR="00570E25">
        <w:trPr>
          <w:trHeight w:val="254"/>
        </w:trPr>
        <w:tc>
          <w:tcPr>
            <w:tcW w:w="5924" w:type="dxa"/>
          </w:tcPr>
          <w:p w:rsidR="00570E25" w:rsidRDefault="008600F3">
            <w:pPr>
              <w:pStyle w:val="TableParagraph"/>
              <w:spacing w:line="235" w:lineRule="exact"/>
              <w:ind w:left="110"/>
              <w:rPr>
                <w:b/>
              </w:rPr>
            </w:pPr>
            <w:r>
              <w:rPr>
                <w:b/>
              </w:rPr>
              <w:t>Reviewing Body</w:t>
            </w:r>
          </w:p>
        </w:tc>
        <w:tc>
          <w:tcPr>
            <w:tcW w:w="3324" w:type="dxa"/>
          </w:tcPr>
          <w:p w:rsidR="00570E25" w:rsidRDefault="008600F3">
            <w:pPr>
              <w:pStyle w:val="TableParagraph"/>
              <w:spacing w:line="235" w:lineRule="exact"/>
              <w:ind w:left="107"/>
              <w:rPr>
                <w:b/>
              </w:rPr>
            </w:pPr>
            <w:r>
              <w:rPr>
                <w:b/>
              </w:rPr>
              <w:t>Date of review</w:t>
            </w:r>
          </w:p>
        </w:tc>
      </w:tr>
      <w:tr w:rsidR="00570E25">
        <w:trPr>
          <w:trHeight w:val="251"/>
        </w:trPr>
        <w:tc>
          <w:tcPr>
            <w:tcW w:w="5924" w:type="dxa"/>
          </w:tcPr>
          <w:p w:rsidR="00570E25" w:rsidRDefault="008600F3">
            <w:pPr>
              <w:pStyle w:val="TableParagraph"/>
              <w:spacing w:line="232" w:lineRule="exact"/>
              <w:ind w:left="110"/>
            </w:pPr>
            <w:r>
              <w:t>Effective Clinical Commissioning Policy Group</w:t>
            </w:r>
          </w:p>
        </w:tc>
        <w:tc>
          <w:tcPr>
            <w:tcW w:w="3324" w:type="dxa"/>
          </w:tcPr>
          <w:p w:rsidR="00570E25" w:rsidRDefault="008600F3">
            <w:pPr>
              <w:pStyle w:val="TableParagraph"/>
              <w:spacing w:line="232" w:lineRule="exact"/>
              <w:ind w:left="107"/>
            </w:pPr>
            <w:r>
              <w:t>30 November 2017</w:t>
            </w:r>
          </w:p>
        </w:tc>
      </w:tr>
      <w:tr w:rsidR="00570E25">
        <w:trPr>
          <w:trHeight w:val="253"/>
        </w:trPr>
        <w:tc>
          <w:tcPr>
            <w:tcW w:w="5924" w:type="dxa"/>
          </w:tcPr>
          <w:p w:rsidR="00570E25" w:rsidRDefault="008600F3">
            <w:pPr>
              <w:pStyle w:val="TableParagraph"/>
              <w:spacing w:line="234" w:lineRule="exact"/>
              <w:ind w:left="110"/>
            </w:pPr>
            <w:r>
              <w:t>Integrated Governance and Quality Committee</w:t>
            </w:r>
          </w:p>
        </w:tc>
        <w:tc>
          <w:tcPr>
            <w:tcW w:w="3324" w:type="dxa"/>
          </w:tcPr>
          <w:p w:rsidR="00570E25" w:rsidRDefault="008600F3">
            <w:pPr>
              <w:pStyle w:val="TableParagraph"/>
              <w:spacing w:line="234" w:lineRule="exact"/>
              <w:ind w:left="107"/>
            </w:pPr>
            <w:r>
              <w:t>7 December 2017</w:t>
            </w:r>
          </w:p>
        </w:tc>
      </w:tr>
    </w:tbl>
    <w:p w:rsidR="00570E25" w:rsidRDefault="00570E25">
      <w:pPr>
        <w:pStyle w:val="BodyText"/>
        <w:spacing w:before="8"/>
        <w:rPr>
          <w:b/>
          <w:sz w:val="21"/>
        </w:rPr>
      </w:pPr>
    </w:p>
    <w:p w:rsidR="00570E25" w:rsidRDefault="008600F3">
      <w:pPr>
        <w:pStyle w:val="Heading2"/>
        <w:spacing w:after="4"/>
        <w:ind w:left="161"/>
      </w:pPr>
      <w:r>
        <w:t>Version Control</w:t>
      </w: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6"/>
        <w:gridCol w:w="2103"/>
        <w:gridCol w:w="2312"/>
        <w:gridCol w:w="3385"/>
      </w:tblGrid>
      <w:tr w:rsidR="00570E25">
        <w:trPr>
          <w:trHeight w:val="292"/>
        </w:trPr>
        <w:tc>
          <w:tcPr>
            <w:tcW w:w="1416" w:type="dxa"/>
          </w:tcPr>
          <w:p w:rsidR="00570E25" w:rsidRDefault="008600F3">
            <w:pPr>
              <w:pStyle w:val="TableParagraph"/>
              <w:spacing w:line="248" w:lineRule="exact"/>
              <w:ind w:left="107"/>
              <w:rPr>
                <w:b/>
              </w:rPr>
            </w:pPr>
            <w:r>
              <w:rPr>
                <w:b/>
              </w:rPr>
              <w:t>Version No</w:t>
            </w:r>
          </w:p>
        </w:tc>
        <w:tc>
          <w:tcPr>
            <w:tcW w:w="2103" w:type="dxa"/>
          </w:tcPr>
          <w:p w:rsidR="00570E25" w:rsidRDefault="008600F3">
            <w:pPr>
              <w:pStyle w:val="TableParagraph"/>
              <w:spacing w:line="248" w:lineRule="exact"/>
              <w:ind w:left="107"/>
              <w:rPr>
                <w:b/>
              </w:rPr>
            </w:pPr>
            <w:r>
              <w:rPr>
                <w:b/>
              </w:rPr>
              <w:t>Type of Change</w:t>
            </w:r>
          </w:p>
        </w:tc>
        <w:tc>
          <w:tcPr>
            <w:tcW w:w="2312" w:type="dxa"/>
          </w:tcPr>
          <w:p w:rsidR="00570E25" w:rsidRDefault="008600F3">
            <w:pPr>
              <w:pStyle w:val="TableParagraph"/>
              <w:spacing w:line="248" w:lineRule="exact"/>
              <w:ind w:left="107"/>
              <w:rPr>
                <w:b/>
              </w:rPr>
            </w:pPr>
            <w:r>
              <w:rPr>
                <w:b/>
              </w:rPr>
              <w:t>Date</w:t>
            </w:r>
          </w:p>
        </w:tc>
        <w:tc>
          <w:tcPr>
            <w:tcW w:w="3385" w:type="dxa"/>
          </w:tcPr>
          <w:p w:rsidR="00570E25" w:rsidRDefault="008600F3">
            <w:pPr>
              <w:pStyle w:val="TableParagraph"/>
              <w:spacing w:line="248" w:lineRule="exact"/>
              <w:ind w:left="107"/>
              <w:rPr>
                <w:b/>
              </w:rPr>
            </w:pPr>
            <w:r>
              <w:rPr>
                <w:b/>
              </w:rPr>
              <w:t>Description of Change</w:t>
            </w:r>
          </w:p>
        </w:tc>
      </w:tr>
      <w:tr w:rsidR="00570E25">
        <w:trPr>
          <w:trHeight w:val="316"/>
        </w:trPr>
        <w:tc>
          <w:tcPr>
            <w:tcW w:w="1416" w:type="dxa"/>
          </w:tcPr>
          <w:p w:rsidR="00570E25" w:rsidRDefault="008600F3">
            <w:pPr>
              <w:pStyle w:val="TableParagraph"/>
              <w:spacing w:before="46" w:line="250" w:lineRule="exact"/>
              <w:ind w:left="168"/>
            </w:pPr>
            <w:r>
              <w:t>1</w:t>
            </w:r>
          </w:p>
        </w:tc>
        <w:tc>
          <w:tcPr>
            <w:tcW w:w="2103" w:type="dxa"/>
          </w:tcPr>
          <w:p w:rsidR="00570E25" w:rsidRDefault="00570E25">
            <w:pPr>
              <w:pStyle w:val="TableParagraph"/>
              <w:rPr>
                <w:rFonts w:ascii="Times New Roman"/>
              </w:rPr>
            </w:pPr>
          </w:p>
        </w:tc>
        <w:tc>
          <w:tcPr>
            <w:tcW w:w="2312" w:type="dxa"/>
          </w:tcPr>
          <w:p w:rsidR="00570E25" w:rsidRDefault="008600F3" w:rsidP="008600F3">
            <w:pPr>
              <w:pStyle w:val="TableParagraph"/>
              <w:spacing w:before="30"/>
              <w:ind w:left="57"/>
            </w:pPr>
            <w:r>
              <w:t>08.12.2017</w:t>
            </w:r>
          </w:p>
        </w:tc>
        <w:tc>
          <w:tcPr>
            <w:tcW w:w="3385" w:type="dxa"/>
          </w:tcPr>
          <w:p w:rsidR="00570E25" w:rsidRDefault="00570E25">
            <w:pPr>
              <w:pStyle w:val="TableParagraph"/>
              <w:rPr>
                <w:rFonts w:ascii="Times New Roman"/>
              </w:rPr>
            </w:pPr>
          </w:p>
        </w:tc>
      </w:tr>
      <w:tr w:rsidR="00570E25">
        <w:trPr>
          <w:trHeight w:val="316"/>
        </w:trPr>
        <w:tc>
          <w:tcPr>
            <w:tcW w:w="1416" w:type="dxa"/>
          </w:tcPr>
          <w:p w:rsidR="00570E25" w:rsidRPr="008600F3" w:rsidRDefault="008600F3">
            <w:pPr>
              <w:pStyle w:val="TableParagraph"/>
            </w:pPr>
            <w:r w:rsidRPr="008600F3">
              <w:t xml:space="preserve">   2</w:t>
            </w:r>
          </w:p>
        </w:tc>
        <w:tc>
          <w:tcPr>
            <w:tcW w:w="2103" w:type="dxa"/>
          </w:tcPr>
          <w:p w:rsidR="00570E25" w:rsidRPr="008600F3" w:rsidRDefault="008600F3" w:rsidP="008600F3">
            <w:pPr>
              <w:pStyle w:val="TableParagraph"/>
              <w:ind w:left="57"/>
            </w:pPr>
            <w:r>
              <w:t>Minor wording   amendment</w:t>
            </w:r>
          </w:p>
        </w:tc>
        <w:tc>
          <w:tcPr>
            <w:tcW w:w="2312" w:type="dxa"/>
          </w:tcPr>
          <w:p w:rsidR="00570E25" w:rsidRPr="008600F3" w:rsidRDefault="008600F3">
            <w:pPr>
              <w:pStyle w:val="TableParagraph"/>
            </w:pPr>
            <w:r>
              <w:t xml:space="preserve"> 17.05.2021</w:t>
            </w:r>
          </w:p>
        </w:tc>
        <w:tc>
          <w:tcPr>
            <w:tcW w:w="3385" w:type="dxa"/>
          </w:tcPr>
          <w:p w:rsidR="00570E25" w:rsidRPr="008600F3" w:rsidRDefault="008600F3" w:rsidP="00ED4B75">
            <w:pPr>
              <w:pStyle w:val="TableParagraph"/>
              <w:ind w:left="57"/>
            </w:pPr>
            <w:r>
              <w:t>F</w:t>
            </w:r>
            <w:r w:rsidRPr="008600F3">
              <w:t xml:space="preserve">irst bullet point </w:t>
            </w:r>
            <w:r>
              <w:t>amended</w:t>
            </w:r>
            <w:r w:rsidRPr="008600F3">
              <w:t xml:space="preserve"> to standardise with terms of the definition of conservative management.</w:t>
            </w:r>
            <w:r w:rsidR="00ED4B75">
              <w:t xml:space="preserve"> </w:t>
            </w:r>
            <w:r w:rsidR="00C450AC">
              <w:t xml:space="preserve">Plain English </w:t>
            </w:r>
            <w:r w:rsidR="00C450AC">
              <w:lastRenderedPageBreak/>
              <w:t xml:space="preserve">Summary, Rationale &amp; Evidence Base updated. </w:t>
            </w:r>
            <w:r w:rsidR="00ED4B75">
              <w:t>(review date to be agreed</w:t>
            </w:r>
            <w:r w:rsidR="00527B84">
              <w:t xml:space="preserve"> at 3 years</w:t>
            </w:r>
            <w:r w:rsidR="00ED4B75">
              <w:t>)</w:t>
            </w:r>
          </w:p>
        </w:tc>
      </w:tr>
      <w:tr w:rsidR="00570E25">
        <w:trPr>
          <w:trHeight w:val="318"/>
        </w:trPr>
        <w:tc>
          <w:tcPr>
            <w:tcW w:w="1416" w:type="dxa"/>
          </w:tcPr>
          <w:p w:rsidR="00570E25" w:rsidRDefault="00570E25">
            <w:pPr>
              <w:pStyle w:val="TableParagraph"/>
              <w:rPr>
                <w:rFonts w:ascii="Times New Roman"/>
              </w:rPr>
            </w:pPr>
          </w:p>
        </w:tc>
        <w:tc>
          <w:tcPr>
            <w:tcW w:w="2103" w:type="dxa"/>
          </w:tcPr>
          <w:p w:rsidR="00570E25" w:rsidRDefault="00570E25">
            <w:pPr>
              <w:pStyle w:val="TableParagraph"/>
              <w:rPr>
                <w:rFonts w:ascii="Times New Roman"/>
              </w:rPr>
            </w:pPr>
          </w:p>
        </w:tc>
        <w:tc>
          <w:tcPr>
            <w:tcW w:w="2312" w:type="dxa"/>
          </w:tcPr>
          <w:p w:rsidR="00570E25" w:rsidRDefault="00570E25">
            <w:pPr>
              <w:pStyle w:val="TableParagraph"/>
              <w:rPr>
                <w:rFonts w:ascii="Times New Roman"/>
              </w:rPr>
            </w:pPr>
          </w:p>
        </w:tc>
        <w:tc>
          <w:tcPr>
            <w:tcW w:w="3385" w:type="dxa"/>
          </w:tcPr>
          <w:p w:rsidR="00570E25" w:rsidRDefault="00570E25">
            <w:pPr>
              <w:pStyle w:val="TableParagraph"/>
              <w:rPr>
                <w:rFonts w:ascii="Times New Roman"/>
              </w:rPr>
            </w:pPr>
          </w:p>
        </w:tc>
      </w:tr>
    </w:tbl>
    <w:p w:rsidR="007E675F" w:rsidRDefault="007E675F"/>
    <w:sectPr w:rsidR="007E675F">
      <w:pgSz w:w="11930" w:h="16860"/>
      <w:pgMar w:top="1520" w:right="1220" w:bottom="1180" w:left="1200" w:header="420" w:footer="98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75F" w:rsidRDefault="008600F3">
      <w:r>
        <w:separator/>
      </w:r>
    </w:p>
  </w:endnote>
  <w:endnote w:type="continuationSeparator" w:id="0">
    <w:p w:rsidR="007E675F" w:rsidRDefault="00860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E25" w:rsidRDefault="008600F3">
    <w:pPr>
      <w:pStyle w:val="BodyText"/>
      <w:spacing w:line="14" w:lineRule="auto"/>
      <w:rPr>
        <w:sz w:val="20"/>
      </w:rPr>
    </w:pPr>
    <w:r>
      <w:rPr>
        <w:noProof/>
        <w:lang w:bidi="ar-SA"/>
      </w:rPr>
      <mc:AlternateContent>
        <mc:Choice Requires="wps">
          <w:drawing>
            <wp:anchor distT="0" distB="0" distL="114300" distR="114300" simplePos="0" relativeHeight="251409408" behindDoc="1" locked="0" layoutInCell="1" allowOverlap="1">
              <wp:simplePos x="0" y="0"/>
              <wp:positionH relativeFrom="page">
                <wp:posOffset>3710305</wp:posOffset>
              </wp:positionH>
              <wp:positionV relativeFrom="page">
                <wp:posOffset>9933940</wp:posOffset>
              </wp:positionV>
              <wp:extent cx="147320" cy="16573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0E25" w:rsidRDefault="008600F3">
                          <w:pPr>
                            <w:pStyle w:val="BodyText"/>
                            <w:spacing w:line="245" w:lineRule="exact"/>
                            <w:ind w:left="60"/>
                            <w:rPr>
                              <w:rFonts w:ascii="Calibri"/>
                            </w:rPr>
                          </w:pPr>
                          <w:r>
                            <w:fldChar w:fldCharType="begin"/>
                          </w:r>
                          <w:r>
                            <w:rPr>
                              <w:rFonts w:ascii="Calibri"/>
                            </w:rPr>
                            <w:instrText xml:space="preserve"> PAGE </w:instrText>
                          </w:r>
                          <w:r>
                            <w:fldChar w:fldCharType="separate"/>
                          </w:r>
                          <w:r w:rsidR="004D63B1">
                            <w:rPr>
                              <w:rFonts w:ascii="Calibri"/>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292.15pt;margin-top:782.2pt;width:11.6pt;height:13.05pt;z-index:-251907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EvNrgIAAK8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" filled="f" stroked="f">
              <v:textbox inset="0,0,0,0">
                <w:txbxContent>
                  <w:p w:rsidR="00570E25" w:rsidRDefault="008600F3">
                    <w:pPr>
                      <w:pStyle w:val="BodyText"/>
                      <w:spacing w:line="245" w:lineRule="exact"/>
                      <w:ind w:left="60"/>
                      <w:rPr>
                        <w:rFonts w:ascii="Calibri"/>
                      </w:rPr>
                    </w:pPr>
                    <w:r>
                      <w:fldChar w:fldCharType="begin"/>
                    </w:r>
                    <w:r>
                      <w:rPr>
                        <w:rFonts w:ascii="Calibri"/>
                      </w:rPr>
                      <w:instrText xml:space="preserve"> PAGE </w:instrText>
                    </w:r>
                    <w:r>
                      <w:fldChar w:fldCharType="separate"/>
                    </w:r>
                    <w:r w:rsidR="004D63B1">
                      <w:rPr>
                        <w:rFonts w:ascii="Calibri"/>
                        <w:noProof/>
                      </w:rPr>
                      <w:t>2</w:t>
                    </w:r>
                    <w: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251410432" behindDoc="1" locked="0" layoutInCell="1" allowOverlap="1">
              <wp:simplePos x="0" y="0"/>
              <wp:positionH relativeFrom="page">
                <wp:posOffset>6518275</wp:posOffset>
              </wp:positionH>
              <wp:positionV relativeFrom="page">
                <wp:posOffset>10228580</wp:posOffset>
              </wp:positionV>
              <wp:extent cx="149860" cy="13906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0E25" w:rsidRDefault="008600F3">
                          <w:pPr>
                            <w:spacing w:before="14"/>
                            <w:ind w:left="20"/>
                            <w:rPr>
                              <w:sz w:val="16"/>
                            </w:rPr>
                          </w:pPr>
                          <w:r>
                            <w:rPr>
                              <w:sz w:val="16"/>
                            </w:rPr>
                            <w:t>V2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1" type="#_x0000_t202" style="position:absolute;margin-left:513.25pt;margin-top:805.4pt;width:11.8pt;height:10.95pt;z-index:-251906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" filled="f" stroked="f">
              <v:textbox inset="0,0,0,0">
                <w:txbxContent>
                  <w:p w:rsidR="00570E25" w:rsidRDefault="008600F3">
                    <w:pPr>
                      <w:spacing w:before="14"/>
                      <w:ind w:left="20"/>
                      <w:rPr>
                        <w:sz w:val="16"/>
                      </w:rPr>
                    </w:pPr>
                    <w:r>
                      <w:rPr>
                        <w:sz w:val="16"/>
                      </w:rPr>
                      <w:t>V2</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75F" w:rsidRDefault="008600F3">
      <w:r>
        <w:separator/>
      </w:r>
    </w:p>
  </w:footnote>
  <w:footnote w:type="continuationSeparator" w:id="0">
    <w:p w:rsidR="007E675F" w:rsidRDefault="008600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E25" w:rsidRDefault="008600F3">
    <w:pPr>
      <w:pStyle w:val="BodyText"/>
      <w:spacing w:line="14" w:lineRule="auto"/>
      <w:rPr>
        <w:sz w:val="20"/>
      </w:rPr>
    </w:pPr>
    <w:r>
      <w:rPr>
        <w:noProof/>
        <w:lang w:bidi="ar-SA"/>
      </w:rPr>
      <mc:AlternateContent>
        <mc:Choice Requires="wps">
          <w:drawing>
            <wp:anchor distT="0" distB="0" distL="114300" distR="114300" simplePos="0" relativeHeight="251408384" behindDoc="1" locked="0" layoutInCell="1" allowOverlap="1">
              <wp:simplePos x="0" y="0"/>
              <wp:positionH relativeFrom="page">
                <wp:posOffset>359410</wp:posOffset>
              </wp:positionH>
              <wp:positionV relativeFrom="page">
                <wp:posOffset>254000</wp:posOffset>
              </wp:positionV>
              <wp:extent cx="1930400" cy="73279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0" cy="732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0E25" w:rsidRDefault="008600F3">
                          <w:pPr>
                            <w:spacing w:line="232" w:lineRule="exact"/>
                            <w:ind w:left="20"/>
                            <w:rPr>
                              <w:rFonts w:ascii="Calibri"/>
                              <w:b/>
                            </w:rPr>
                          </w:pPr>
                          <w:r>
                            <w:rPr>
                              <w:rFonts w:ascii="Calibri"/>
                              <w:b/>
                            </w:rPr>
                            <w:t>Policy Category:</w:t>
                          </w:r>
                        </w:p>
                        <w:p w:rsidR="00570E25" w:rsidRDefault="008600F3">
                          <w:pPr>
                            <w:spacing w:line="255" w:lineRule="exact"/>
                            <w:ind w:left="20"/>
                            <w:rPr>
                              <w:rFonts w:ascii="Calibri"/>
                              <w:b/>
                            </w:rPr>
                          </w:pPr>
                          <w:r>
                            <w:rPr>
                              <w:rFonts w:ascii="Calibri"/>
                              <w:b/>
                              <w:color w:val="FF0000"/>
                            </w:rPr>
                            <w:t>CBA</w:t>
                          </w:r>
                        </w:p>
                        <w:p w:rsidR="00570E25" w:rsidRDefault="008600F3">
                          <w:pPr>
                            <w:spacing w:before="31"/>
                            <w:ind w:left="20"/>
                            <w:rPr>
                              <w:rFonts w:ascii="Calibri"/>
                              <w:b/>
                            </w:rPr>
                          </w:pPr>
                          <w:r>
                            <w:rPr>
                              <w:rFonts w:ascii="Calibri"/>
                              <w:b/>
                            </w:rPr>
                            <w:t>Who usually applies for funding?</w:t>
                          </w:r>
                        </w:p>
                        <w:p w:rsidR="00570E25" w:rsidRDefault="008600F3">
                          <w:pPr>
                            <w:spacing w:before="82"/>
                            <w:ind w:left="20"/>
                            <w:rPr>
                              <w:rFonts w:ascii="Calibri"/>
                              <w:b/>
                            </w:rPr>
                          </w:pPr>
                          <w:r>
                            <w:rPr>
                              <w:rFonts w:ascii="Calibri"/>
                              <w:b/>
                              <w:color w:val="FF0000"/>
                            </w:rPr>
                            <w:t>Not applicable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28.3pt;margin-top:20pt;width:152pt;height:57.7pt;z-index:-251908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" filled="f" stroked="f">
              <v:textbox inset="0,0,0,0">
                <w:txbxContent>
                  <w:p w:rsidR="00570E25" w:rsidRDefault="008600F3">
                    <w:pPr>
                      <w:spacing w:line="232" w:lineRule="exact"/>
                      <w:ind w:left="20"/>
                      <w:rPr>
                        <w:rFonts w:ascii="Calibri"/>
                        <w:b/>
                      </w:rPr>
                    </w:pPr>
                    <w:r>
                      <w:rPr>
                        <w:rFonts w:ascii="Calibri"/>
                        <w:b/>
                      </w:rPr>
                      <w:t>Policy Category:</w:t>
                    </w:r>
                  </w:p>
                  <w:p w:rsidR="00570E25" w:rsidRDefault="008600F3">
                    <w:pPr>
                      <w:spacing w:line="255" w:lineRule="exact"/>
                      <w:ind w:left="20"/>
                      <w:rPr>
                        <w:rFonts w:ascii="Calibri"/>
                        <w:b/>
                      </w:rPr>
                    </w:pPr>
                    <w:r>
                      <w:rPr>
                        <w:rFonts w:ascii="Calibri"/>
                        <w:b/>
                        <w:color w:val="FF0000"/>
                      </w:rPr>
                      <w:t>CBA</w:t>
                    </w:r>
                  </w:p>
                  <w:p w:rsidR="00570E25" w:rsidRDefault="008600F3">
                    <w:pPr>
                      <w:spacing w:before="31"/>
                      <w:ind w:left="20"/>
                      <w:rPr>
                        <w:rFonts w:ascii="Calibri"/>
                        <w:b/>
                      </w:rPr>
                    </w:pPr>
                    <w:r>
                      <w:rPr>
                        <w:rFonts w:ascii="Calibri"/>
                        <w:b/>
                      </w:rPr>
                      <w:t>Who usually applies for funding?</w:t>
                    </w:r>
                  </w:p>
                  <w:p w:rsidR="00570E25" w:rsidRDefault="008600F3">
                    <w:pPr>
                      <w:spacing w:before="82"/>
                      <w:ind w:left="20"/>
                      <w:rPr>
                        <w:rFonts w:ascii="Calibri"/>
                        <w:b/>
                      </w:rPr>
                    </w:pPr>
                    <w:r>
                      <w:rPr>
                        <w:rFonts w:ascii="Calibri"/>
                        <w:b/>
                        <w:color w:val="FF0000"/>
                      </w:rPr>
                      <w:t>Not applicable</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DD45AE"/>
    <w:multiLevelType w:val="hybridMultilevel"/>
    <w:tmpl w:val="DBA251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71284D4E"/>
    <w:multiLevelType w:val="hybridMultilevel"/>
    <w:tmpl w:val="FD483BC0"/>
    <w:lvl w:ilvl="0" w:tplc="B6B82044">
      <w:numFmt w:val="bullet"/>
      <w:lvlText w:val=""/>
      <w:lvlJc w:val="left"/>
      <w:pPr>
        <w:ind w:left="857" w:hanging="360"/>
      </w:pPr>
      <w:rPr>
        <w:rFonts w:ascii="Symbol" w:eastAsia="Symbol" w:hAnsi="Symbol" w:cs="Symbol" w:hint="default"/>
        <w:w w:val="100"/>
        <w:sz w:val="22"/>
        <w:szCs w:val="22"/>
        <w:lang w:val="en-GB" w:eastAsia="en-GB" w:bidi="en-GB"/>
      </w:rPr>
    </w:lvl>
    <w:lvl w:ilvl="1" w:tplc="3B301E06">
      <w:numFmt w:val="bullet"/>
      <w:lvlText w:val="o"/>
      <w:lvlJc w:val="left"/>
      <w:pPr>
        <w:ind w:left="1577" w:hanging="360"/>
      </w:pPr>
      <w:rPr>
        <w:rFonts w:ascii="Courier New" w:eastAsia="Courier New" w:hAnsi="Courier New" w:cs="Courier New" w:hint="default"/>
        <w:w w:val="100"/>
        <w:sz w:val="22"/>
        <w:szCs w:val="22"/>
        <w:lang w:val="en-GB" w:eastAsia="en-GB" w:bidi="en-GB"/>
      </w:rPr>
    </w:lvl>
    <w:lvl w:ilvl="2" w:tplc="2546653E">
      <w:numFmt w:val="bullet"/>
      <w:lvlText w:val="•"/>
      <w:lvlJc w:val="left"/>
      <w:pPr>
        <w:ind w:left="2460" w:hanging="360"/>
      </w:pPr>
      <w:rPr>
        <w:rFonts w:hint="default"/>
        <w:lang w:val="en-GB" w:eastAsia="en-GB" w:bidi="en-GB"/>
      </w:rPr>
    </w:lvl>
    <w:lvl w:ilvl="3" w:tplc="52285202">
      <w:numFmt w:val="bullet"/>
      <w:lvlText w:val="•"/>
      <w:lvlJc w:val="left"/>
      <w:pPr>
        <w:ind w:left="3340" w:hanging="360"/>
      </w:pPr>
      <w:rPr>
        <w:rFonts w:hint="default"/>
        <w:lang w:val="en-GB" w:eastAsia="en-GB" w:bidi="en-GB"/>
      </w:rPr>
    </w:lvl>
    <w:lvl w:ilvl="4" w:tplc="6ECADD04">
      <w:numFmt w:val="bullet"/>
      <w:lvlText w:val="•"/>
      <w:lvlJc w:val="left"/>
      <w:pPr>
        <w:ind w:left="4220" w:hanging="360"/>
      </w:pPr>
      <w:rPr>
        <w:rFonts w:hint="default"/>
        <w:lang w:val="en-GB" w:eastAsia="en-GB" w:bidi="en-GB"/>
      </w:rPr>
    </w:lvl>
    <w:lvl w:ilvl="5" w:tplc="A20ADFF0">
      <w:numFmt w:val="bullet"/>
      <w:lvlText w:val="•"/>
      <w:lvlJc w:val="left"/>
      <w:pPr>
        <w:ind w:left="5100" w:hanging="360"/>
      </w:pPr>
      <w:rPr>
        <w:rFonts w:hint="default"/>
        <w:lang w:val="en-GB" w:eastAsia="en-GB" w:bidi="en-GB"/>
      </w:rPr>
    </w:lvl>
    <w:lvl w:ilvl="6" w:tplc="7C7E506C">
      <w:numFmt w:val="bullet"/>
      <w:lvlText w:val="•"/>
      <w:lvlJc w:val="left"/>
      <w:pPr>
        <w:ind w:left="5980" w:hanging="360"/>
      </w:pPr>
      <w:rPr>
        <w:rFonts w:hint="default"/>
        <w:lang w:val="en-GB" w:eastAsia="en-GB" w:bidi="en-GB"/>
      </w:rPr>
    </w:lvl>
    <w:lvl w:ilvl="7" w:tplc="A57641BE">
      <w:numFmt w:val="bullet"/>
      <w:lvlText w:val="•"/>
      <w:lvlJc w:val="left"/>
      <w:pPr>
        <w:ind w:left="6860" w:hanging="360"/>
      </w:pPr>
      <w:rPr>
        <w:rFonts w:hint="default"/>
        <w:lang w:val="en-GB" w:eastAsia="en-GB" w:bidi="en-GB"/>
      </w:rPr>
    </w:lvl>
    <w:lvl w:ilvl="8" w:tplc="A6D23368">
      <w:numFmt w:val="bullet"/>
      <w:lvlText w:val="•"/>
      <w:lvlJc w:val="left"/>
      <w:pPr>
        <w:ind w:left="7740" w:hanging="360"/>
      </w:pPr>
      <w:rPr>
        <w:rFonts w:hint="default"/>
        <w:lang w:val="en-GB" w:eastAsia="en-GB" w:bidi="en-GB"/>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E25"/>
    <w:rsid w:val="00355672"/>
    <w:rsid w:val="004451A5"/>
    <w:rsid w:val="004D63B1"/>
    <w:rsid w:val="00527B84"/>
    <w:rsid w:val="00570E25"/>
    <w:rsid w:val="007E675F"/>
    <w:rsid w:val="008600F3"/>
    <w:rsid w:val="00B0480F"/>
    <w:rsid w:val="00C450AC"/>
    <w:rsid w:val="00D97306"/>
    <w:rsid w:val="00EB3E69"/>
    <w:rsid w:val="00ED4B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240"/>
      <w:outlineLvl w:val="0"/>
    </w:pPr>
    <w:rPr>
      <w:b/>
      <w:bCs/>
      <w:sz w:val="24"/>
      <w:szCs w:val="24"/>
    </w:rPr>
  </w:style>
  <w:style w:type="paragraph" w:styleId="Heading2">
    <w:name w:val="heading 2"/>
    <w:basedOn w:val="Normal"/>
    <w:uiPriority w:val="1"/>
    <w:qFormat/>
    <w:pPr>
      <w:ind w:left="2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57" w:hanging="360"/>
    </w:pPr>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8600F3"/>
    <w:rPr>
      <w:color w:val="0000FF"/>
      <w:u w:val="single"/>
    </w:rPr>
  </w:style>
  <w:style w:type="paragraph" w:customStyle="1" w:styleId="Default">
    <w:name w:val="Default"/>
    <w:basedOn w:val="Normal"/>
    <w:rsid w:val="008600F3"/>
    <w:pPr>
      <w:widowControl/>
    </w:pPr>
    <w:rPr>
      <w:rFonts w:eastAsiaTheme="minorHAnsi"/>
      <w:color w:val="000000"/>
      <w:sz w:val="24"/>
      <w:szCs w:val="24"/>
      <w:lang w:bidi="ar-SA"/>
    </w:rPr>
  </w:style>
  <w:style w:type="paragraph" w:styleId="Header">
    <w:name w:val="header"/>
    <w:basedOn w:val="Normal"/>
    <w:link w:val="HeaderChar"/>
    <w:uiPriority w:val="99"/>
    <w:unhideWhenUsed/>
    <w:rsid w:val="008600F3"/>
    <w:pPr>
      <w:tabs>
        <w:tab w:val="center" w:pos="4513"/>
        <w:tab w:val="right" w:pos="9026"/>
      </w:tabs>
    </w:pPr>
  </w:style>
  <w:style w:type="character" w:customStyle="1" w:styleId="HeaderChar">
    <w:name w:val="Header Char"/>
    <w:basedOn w:val="DefaultParagraphFont"/>
    <w:link w:val="Header"/>
    <w:uiPriority w:val="99"/>
    <w:rsid w:val="008600F3"/>
    <w:rPr>
      <w:rFonts w:ascii="Arial" w:eastAsia="Arial" w:hAnsi="Arial" w:cs="Arial"/>
      <w:lang w:val="en-GB" w:eastAsia="en-GB" w:bidi="en-GB"/>
    </w:rPr>
  </w:style>
  <w:style w:type="paragraph" w:styleId="Footer">
    <w:name w:val="footer"/>
    <w:basedOn w:val="Normal"/>
    <w:link w:val="FooterChar"/>
    <w:uiPriority w:val="99"/>
    <w:unhideWhenUsed/>
    <w:rsid w:val="008600F3"/>
    <w:pPr>
      <w:tabs>
        <w:tab w:val="center" w:pos="4513"/>
        <w:tab w:val="right" w:pos="9026"/>
      </w:tabs>
    </w:pPr>
  </w:style>
  <w:style w:type="character" w:customStyle="1" w:styleId="FooterChar">
    <w:name w:val="Footer Char"/>
    <w:basedOn w:val="DefaultParagraphFont"/>
    <w:link w:val="Footer"/>
    <w:uiPriority w:val="99"/>
    <w:rsid w:val="008600F3"/>
    <w:rPr>
      <w:rFonts w:ascii="Arial" w:eastAsia="Arial" w:hAnsi="Arial" w:cs="Arial"/>
      <w:lang w:val="en-GB" w:eastAsia="en-GB" w:bidi="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240"/>
      <w:outlineLvl w:val="0"/>
    </w:pPr>
    <w:rPr>
      <w:b/>
      <w:bCs/>
      <w:sz w:val="24"/>
      <w:szCs w:val="24"/>
    </w:rPr>
  </w:style>
  <w:style w:type="paragraph" w:styleId="Heading2">
    <w:name w:val="heading 2"/>
    <w:basedOn w:val="Normal"/>
    <w:uiPriority w:val="1"/>
    <w:qFormat/>
    <w:pPr>
      <w:ind w:left="2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57" w:hanging="360"/>
    </w:pPr>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8600F3"/>
    <w:rPr>
      <w:color w:val="0000FF"/>
      <w:u w:val="single"/>
    </w:rPr>
  </w:style>
  <w:style w:type="paragraph" w:customStyle="1" w:styleId="Default">
    <w:name w:val="Default"/>
    <w:basedOn w:val="Normal"/>
    <w:rsid w:val="008600F3"/>
    <w:pPr>
      <w:widowControl/>
    </w:pPr>
    <w:rPr>
      <w:rFonts w:eastAsiaTheme="minorHAnsi"/>
      <w:color w:val="000000"/>
      <w:sz w:val="24"/>
      <w:szCs w:val="24"/>
      <w:lang w:bidi="ar-SA"/>
    </w:rPr>
  </w:style>
  <w:style w:type="paragraph" w:styleId="Header">
    <w:name w:val="header"/>
    <w:basedOn w:val="Normal"/>
    <w:link w:val="HeaderChar"/>
    <w:uiPriority w:val="99"/>
    <w:unhideWhenUsed/>
    <w:rsid w:val="008600F3"/>
    <w:pPr>
      <w:tabs>
        <w:tab w:val="center" w:pos="4513"/>
        <w:tab w:val="right" w:pos="9026"/>
      </w:tabs>
    </w:pPr>
  </w:style>
  <w:style w:type="character" w:customStyle="1" w:styleId="HeaderChar">
    <w:name w:val="Header Char"/>
    <w:basedOn w:val="DefaultParagraphFont"/>
    <w:link w:val="Header"/>
    <w:uiPriority w:val="99"/>
    <w:rsid w:val="008600F3"/>
    <w:rPr>
      <w:rFonts w:ascii="Arial" w:eastAsia="Arial" w:hAnsi="Arial" w:cs="Arial"/>
      <w:lang w:val="en-GB" w:eastAsia="en-GB" w:bidi="en-GB"/>
    </w:rPr>
  </w:style>
  <w:style w:type="paragraph" w:styleId="Footer">
    <w:name w:val="footer"/>
    <w:basedOn w:val="Normal"/>
    <w:link w:val="FooterChar"/>
    <w:uiPriority w:val="99"/>
    <w:unhideWhenUsed/>
    <w:rsid w:val="008600F3"/>
    <w:pPr>
      <w:tabs>
        <w:tab w:val="center" w:pos="4513"/>
        <w:tab w:val="right" w:pos="9026"/>
      </w:tabs>
    </w:pPr>
  </w:style>
  <w:style w:type="character" w:customStyle="1" w:styleId="FooterChar">
    <w:name w:val="Footer Char"/>
    <w:basedOn w:val="DefaultParagraphFont"/>
    <w:link w:val="Footer"/>
    <w:uiPriority w:val="99"/>
    <w:rsid w:val="008600F3"/>
    <w:rPr>
      <w:rFonts w:ascii="Arial" w:eastAsia="Arial" w:hAnsi="Arial" w:cs="Aria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427583">
      <w:bodyDiv w:val="1"/>
      <w:marLeft w:val="0"/>
      <w:marRight w:val="0"/>
      <w:marTop w:val="0"/>
      <w:marBottom w:val="0"/>
      <w:divBdr>
        <w:top w:val="none" w:sz="0" w:space="0" w:color="auto"/>
        <w:left w:val="none" w:sz="0" w:space="0" w:color="auto"/>
        <w:bottom w:val="none" w:sz="0" w:space="0" w:color="auto"/>
        <w:right w:val="none" w:sz="0" w:space="0" w:color="auto"/>
      </w:divBdr>
    </w:div>
    <w:div w:id="20855643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nice.org.uk/guidance/ipg408"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nice.org.uk/guidance/ipg403"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GLCCG.IFR@nhs.ne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nice.org.uk/guidance/ipg408"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ice.org.uk/guidance/qs87/chapter/Quality-statement-7-Core-treatments-before-referral-for-consideration-of-joint-surgery" TargetMode="External"/><Relationship Id="rId14" Type="http://schemas.openxmlformats.org/officeDocument/2006/relationships/hyperlink" Target="https://www.nice.org.uk/guidance/ipg4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466</Words>
  <Characters>2660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Gloucestershire Hospitals NHS Foundation Trust</Company>
  <LinksUpToDate>false</LinksUpToDate>
  <CharactersWithSpaces>3120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ITC-JG</dc:creator>
  <cp:lastModifiedBy>Higgins Jacky</cp:lastModifiedBy>
  <cp:revision>9</cp:revision>
  <dcterms:created xsi:type="dcterms:W3CDTF">2021-05-17T15:05:00Z</dcterms:created>
  <dcterms:modified xsi:type="dcterms:W3CDTF">2021-06-02T15:13:00Z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2018-03-27T00:00:00Z</vt:filetime>
  </property>
  <property fmtid="{D5CDD505-2E9C-101B-9397-08002B2CF9AE}" pid="3" name="Creator">
    <vt:lpwstr>Microsoft® Word 2010</vt:lpwstr>
  </property>
  <property fmtid="{D5CDD505-2E9C-101B-9397-08002B2CF9AE}" pid="4" name="LastSaved">
    <vt:filetime>2021-05-17T00:00:00Z</vt:filetime>
  </property>
</Properties>
</file>