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99D14" w14:textId="77777777" w:rsidR="00967D33" w:rsidRDefault="00910DB9">
      <w:pPr>
        <w:tabs>
          <w:tab w:val="left" w:pos="7143"/>
        </w:tabs>
        <w:ind w:left="115"/>
        <w:rPr>
          <w:rFonts w:ascii="Times New Roman"/>
          <w:sz w:val="20"/>
        </w:rPr>
      </w:pPr>
      <w:r>
        <w:rPr>
          <w:rFonts w:ascii="Times New Roman"/>
          <w:sz w:val="20"/>
        </w:rPr>
      </w:r>
      <w:r>
        <w:rPr>
          <w:rFonts w:ascii="Times New Roman"/>
          <w:sz w:val="20"/>
        </w:rPr>
        <w:pict w14:anchorId="42382B44">
          <v:shapetype id="_x0000_t202" coordsize="21600,21600" o:spt="202" path="m,l,21600r21600,l21600,xe">
            <v:stroke joinstyle="miter"/>
            <v:path gradientshapeok="t" o:connecttype="rect"/>
          </v:shapetype>
          <v:shape id="_x0000_s1038" type="#_x0000_t202" style="width:207.75pt;height:71.25pt;mso-left-percent:-10001;mso-top-percent:-10001;mso-position-horizontal:absolute;mso-position-horizontal-relative:char;mso-position-vertical:absolute;mso-position-vertical-relative:line;mso-left-percent:-10001;mso-top-percent:-10001" filled="f">
            <v:textbox inset="0,0,0,0">
              <w:txbxContent>
                <w:p w14:paraId="02257C89" w14:textId="77777777" w:rsidR="00967D33" w:rsidRDefault="00214344">
                  <w:pPr>
                    <w:spacing w:before="70"/>
                    <w:ind w:left="144"/>
                    <w:rPr>
                      <w:rFonts w:ascii="Calibri"/>
                      <w:b/>
                    </w:rPr>
                  </w:pPr>
                  <w:r>
                    <w:rPr>
                      <w:rFonts w:ascii="Calibri"/>
                      <w:b/>
                    </w:rPr>
                    <w:t>Policy Category:</w:t>
                  </w:r>
                </w:p>
                <w:p w14:paraId="732741B3" w14:textId="77777777" w:rsidR="00967D33" w:rsidRDefault="00214344">
                  <w:pPr>
                    <w:spacing w:before="36"/>
                    <w:ind w:left="144"/>
                    <w:rPr>
                      <w:rFonts w:ascii="Calibri"/>
                      <w:b/>
                    </w:rPr>
                  </w:pPr>
                  <w:r>
                    <w:rPr>
                      <w:rFonts w:ascii="Calibri"/>
                      <w:b/>
                      <w:color w:val="FF0000"/>
                    </w:rPr>
                    <w:t>INNF</w:t>
                  </w:r>
                </w:p>
                <w:p w14:paraId="44105722" w14:textId="0FF1AE01" w:rsidR="00967D33" w:rsidRDefault="00214344">
                  <w:pPr>
                    <w:spacing w:before="36" w:line="278" w:lineRule="auto"/>
                    <w:ind w:left="144" w:right="977"/>
                    <w:rPr>
                      <w:rFonts w:ascii="Calibri"/>
                      <w:b/>
                      <w:color w:val="FF0000"/>
                    </w:rPr>
                  </w:pPr>
                  <w:r>
                    <w:rPr>
                      <w:rFonts w:ascii="Calibri"/>
                      <w:b/>
                    </w:rPr>
                    <w:t xml:space="preserve">Who usually applies for funding? </w:t>
                  </w:r>
                  <w:r>
                    <w:rPr>
                      <w:rFonts w:ascii="Calibri"/>
                      <w:b/>
                      <w:color w:val="FF0000"/>
                    </w:rPr>
                    <w:t>GP/Cons</w:t>
                  </w:r>
                </w:p>
                <w:p w14:paraId="45AD1B01" w14:textId="77777777" w:rsidR="00214344" w:rsidRDefault="00214344">
                  <w:pPr>
                    <w:spacing w:before="36" w:line="278" w:lineRule="auto"/>
                    <w:ind w:left="144" w:right="977"/>
                    <w:rPr>
                      <w:rFonts w:ascii="Calibri"/>
                      <w:b/>
                    </w:rPr>
                  </w:pPr>
                </w:p>
              </w:txbxContent>
            </v:textbox>
            <w10:anchorlock/>
          </v:shape>
        </w:pict>
      </w:r>
      <w:r w:rsidR="00214344">
        <w:rPr>
          <w:rFonts w:ascii="Times New Roman"/>
          <w:sz w:val="20"/>
        </w:rPr>
        <w:tab/>
      </w:r>
      <w:r w:rsidR="00214344">
        <w:rPr>
          <w:rFonts w:ascii="Times New Roman"/>
          <w:noProof/>
          <w:position w:val="22"/>
          <w:sz w:val="20"/>
        </w:rPr>
        <w:drawing>
          <wp:inline distT="0" distB="0" distL="0" distR="0" wp14:anchorId="7FE0A425" wp14:editId="6806147A">
            <wp:extent cx="2586242" cy="6705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586242" cy="670559"/>
                    </a:xfrm>
                    <a:prstGeom prst="rect">
                      <a:avLst/>
                    </a:prstGeom>
                  </pic:spPr>
                </pic:pic>
              </a:graphicData>
            </a:graphic>
          </wp:inline>
        </w:drawing>
      </w:r>
    </w:p>
    <w:p w14:paraId="79DBDD3B" w14:textId="77777777" w:rsidR="00967D33" w:rsidRDefault="00967D33">
      <w:pPr>
        <w:pStyle w:val="BodyText"/>
        <w:spacing w:before="7"/>
        <w:rPr>
          <w:rFonts w:ascii="Times New Roman"/>
          <w:sz w:val="6"/>
        </w:rPr>
      </w:pPr>
    </w:p>
    <w:p w14:paraId="02C31FE4" w14:textId="77777777" w:rsidR="00967D33" w:rsidRDefault="00214344">
      <w:pPr>
        <w:pStyle w:val="Heading1"/>
        <w:spacing w:before="92"/>
        <w:ind w:left="1962" w:right="2030"/>
        <w:jc w:val="center"/>
      </w:pPr>
      <w:proofErr w:type="spellStart"/>
      <w:r>
        <w:t>Hyalurons</w:t>
      </w:r>
      <w:proofErr w:type="spellEnd"/>
      <w:r>
        <w:t>, Hyaluronic Acid (</w:t>
      </w:r>
      <w:proofErr w:type="spellStart"/>
      <w:r>
        <w:t>Durolane</w:t>
      </w:r>
      <w:proofErr w:type="spellEnd"/>
      <w:r>
        <w:t xml:space="preserve">) or </w:t>
      </w:r>
      <w:proofErr w:type="spellStart"/>
      <w:r>
        <w:t>viscosupplementation</w:t>
      </w:r>
      <w:proofErr w:type="spellEnd"/>
    </w:p>
    <w:p w14:paraId="12AB2042" w14:textId="77777777" w:rsidR="00967D33" w:rsidRDefault="00967D33">
      <w:pPr>
        <w:pStyle w:val="BodyText"/>
        <w:spacing w:before="10" w:after="1"/>
        <w:rPr>
          <w:b/>
          <w:sz w:val="27"/>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967D33" w14:paraId="3AD616A5" w14:textId="77777777">
        <w:trPr>
          <w:trHeight w:val="1264"/>
        </w:trPr>
        <w:tc>
          <w:tcPr>
            <w:tcW w:w="2093" w:type="dxa"/>
            <w:shd w:val="clear" w:color="auto" w:fill="D9D9D9"/>
          </w:tcPr>
          <w:p w14:paraId="4A0140D2" w14:textId="77777777" w:rsidR="00967D33" w:rsidRDefault="00214344">
            <w:pPr>
              <w:pStyle w:val="TableParagraph"/>
              <w:ind w:right="155"/>
              <w:rPr>
                <w:b/>
                <w:sz w:val="24"/>
              </w:rPr>
            </w:pPr>
            <w:r>
              <w:rPr>
                <w:b/>
                <w:sz w:val="24"/>
              </w:rPr>
              <w:t>Commissioning decision</w:t>
            </w:r>
          </w:p>
        </w:tc>
        <w:tc>
          <w:tcPr>
            <w:tcW w:w="7151" w:type="dxa"/>
          </w:tcPr>
          <w:p w14:paraId="2D2095A7" w14:textId="77777777" w:rsidR="00967D33" w:rsidRDefault="00214344">
            <w:pPr>
              <w:pStyle w:val="TableParagraph"/>
              <w:ind w:right="413"/>
              <w:rPr>
                <w:b/>
              </w:rPr>
            </w:pPr>
            <w:r>
              <w:rPr>
                <w:b/>
              </w:rPr>
              <w:t xml:space="preserve">Use of </w:t>
            </w:r>
            <w:proofErr w:type="spellStart"/>
            <w:r>
              <w:rPr>
                <w:b/>
              </w:rPr>
              <w:t>Hyalurons</w:t>
            </w:r>
            <w:proofErr w:type="spellEnd"/>
            <w:r>
              <w:rPr>
                <w:b/>
              </w:rPr>
              <w:t>, Hyaluronic Acid (</w:t>
            </w:r>
            <w:proofErr w:type="spellStart"/>
            <w:r>
              <w:rPr>
                <w:b/>
              </w:rPr>
              <w:t>Durolane</w:t>
            </w:r>
            <w:proofErr w:type="spellEnd"/>
            <w:r>
              <w:rPr>
                <w:b/>
              </w:rPr>
              <w:t xml:space="preserve">) or </w:t>
            </w:r>
            <w:proofErr w:type="spellStart"/>
            <w:r>
              <w:rPr>
                <w:b/>
              </w:rPr>
              <w:t>viscosupplementation</w:t>
            </w:r>
            <w:proofErr w:type="spellEnd"/>
            <w:r>
              <w:rPr>
                <w:b/>
              </w:rPr>
              <w:t xml:space="preserve"> are considered a low priority for funding and will only be considered in exceptional circumstances.</w:t>
            </w:r>
          </w:p>
          <w:p w14:paraId="5619E795" w14:textId="77777777" w:rsidR="00967D33" w:rsidRDefault="00214344">
            <w:pPr>
              <w:pStyle w:val="TableParagraph"/>
              <w:spacing w:line="250" w:lineRule="atLeast"/>
              <w:ind w:right="132"/>
              <w:rPr>
                <w:b/>
              </w:rPr>
            </w:pPr>
            <w:r>
              <w:rPr>
                <w:b/>
              </w:rPr>
              <w:t>Funding approval must be sought from the CCG via the Individual Funding Request process prior to treatment.</w:t>
            </w:r>
          </w:p>
        </w:tc>
      </w:tr>
    </w:tbl>
    <w:p w14:paraId="422F97C6" w14:textId="77777777" w:rsidR="00967D33" w:rsidRDefault="00967D33">
      <w:pPr>
        <w:pStyle w:val="BodyText"/>
        <w:spacing w:before="2"/>
        <w:rPr>
          <w:b/>
          <w:sz w:val="27"/>
        </w:rPr>
      </w:pPr>
    </w:p>
    <w:p w14:paraId="36DE6CFC" w14:textId="77777777" w:rsidR="00967D33" w:rsidRDefault="00910DB9">
      <w:pPr>
        <w:ind w:left="1120"/>
        <w:rPr>
          <w:b/>
          <w:sz w:val="24"/>
        </w:rPr>
      </w:pPr>
      <w:r>
        <w:pict w14:anchorId="4C4C8208">
          <v:shape id="_x0000_s1034" type="#_x0000_t202" style="position:absolute;left:0;text-align:left;margin-left:66.6pt;margin-top:16.4pt;width:462.2pt;height:39.6pt;z-index:-251657216;mso-wrap-distance-left:0;mso-wrap-distance-right:0;mso-position-horizontal-relative:page" filled="f" strokeweight=".48pt">
            <v:textbox inset="0,0,0,0">
              <w:txbxContent>
                <w:p w14:paraId="01EE00FF" w14:textId="77777777" w:rsidR="00967D33" w:rsidRDefault="00214344">
                  <w:pPr>
                    <w:pStyle w:val="BodyText"/>
                    <w:ind w:left="103" w:right="955"/>
                  </w:pPr>
                  <w:proofErr w:type="spellStart"/>
                  <w:r>
                    <w:t>Hyalurons</w:t>
                  </w:r>
                  <w:proofErr w:type="spellEnd"/>
                  <w:r>
                    <w:t xml:space="preserve"> or Hyaluronic Acid (</w:t>
                  </w:r>
                  <w:proofErr w:type="spellStart"/>
                  <w:r>
                    <w:t>Durolane</w:t>
                  </w:r>
                  <w:proofErr w:type="spellEnd"/>
                  <w:r>
                    <w:t xml:space="preserve">) or </w:t>
                  </w:r>
                  <w:proofErr w:type="spellStart"/>
                  <w:r>
                    <w:t>viscosupplementation</w:t>
                  </w:r>
                  <w:proofErr w:type="spellEnd"/>
                  <w:r>
                    <w:t xml:space="preserve"> as a treatment for osteoarthritis is not normally funded</w:t>
                  </w:r>
                </w:p>
              </w:txbxContent>
            </v:textbox>
            <w10:wrap type="topAndBottom" anchorx="page"/>
          </v:shape>
        </w:pict>
      </w:r>
      <w:r w:rsidR="00214344">
        <w:rPr>
          <w:b/>
          <w:sz w:val="24"/>
        </w:rPr>
        <w:t>Policy Statement:</w:t>
      </w:r>
    </w:p>
    <w:p w14:paraId="0E07C229" w14:textId="77777777" w:rsidR="00967D33" w:rsidRDefault="00967D33">
      <w:pPr>
        <w:pStyle w:val="BodyText"/>
        <w:spacing w:before="7"/>
        <w:rPr>
          <w:b/>
          <w:sz w:val="23"/>
        </w:rPr>
      </w:pPr>
    </w:p>
    <w:p w14:paraId="5AB064BA" w14:textId="77777777" w:rsidR="00967D33" w:rsidRDefault="00910DB9">
      <w:pPr>
        <w:ind w:left="1120"/>
        <w:rPr>
          <w:b/>
          <w:sz w:val="24"/>
        </w:rPr>
      </w:pPr>
      <w:r>
        <w:pict w14:anchorId="2E255475">
          <v:shape id="_x0000_s1033" type="#_x0000_t202" style="position:absolute;left:0;text-align:left;margin-left:66.6pt;margin-top:16.3pt;width:462.2pt;height:39.6pt;z-index:-251656192;mso-wrap-distance-left:0;mso-wrap-distance-right:0;mso-position-horizontal-relative:page" filled="f" strokeweight=".48pt">
            <v:textbox inset="0,0,0,0">
              <w:txbxContent>
                <w:p w14:paraId="471E55B5" w14:textId="77777777" w:rsidR="00967D33" w:rsidRDefault="00214344">
                  <w:pPr>
                    <w:pStyle w:val="BodyText"/>
                    <w:spacing w:line="244" w:lineRule="auto"/>
                    <w:ind w:left="103" w:right="367"/>
                  </w:pPr>
                  <w:r>
                    <w:t>NICE Clinical Guideline 177 concludes that intra-articular hyaluronan injections should not be offered for the management of osteoarthritis.</w:t>
                  </w:r>
                </w:p>
              </w:txbxContent>
            </v:textbox>
            <w10:wrap type="topAndBottom" anchorx="page"/>
          </v:shape>
        </w:pict>
      </w:r>
      <w:r w:rsidR="00214344">
        <w:rPr>
          <w:b/>
          <w:sz w:val="24"/>
        </w:rPr>
        <w:t>Rationale:</w:t>
      </w:r>
    </w:p>
    <w:p w14:paraId="3C151880" w14:textId="77777777" w:rsidR="00967D33" w:rsidRDefault="00967D33">
      <w:pPr>
        <w:pStyle w:val="BodyText"/>
        <w:spacing w:before="9"/>
        <w:rPr>
          <w:b/>
          <w:sz w:val="23"/>
        </w:rPr>
      </w:pPr>
    </w:p>
    <w:p w14:paraId="1059B3AE" w14:textId="77777777" w:rsidR="00967D33" w:rsidRDefault="00910DB9">
      <w:pPr>
        <w:ind w:left="1120"/>
        <w:rPr>
          <w:b/>
          <w:sz w:val="24"/>
        </w:rPr>
      </w:pPr>
      <w:r>
        <w:pict w14:anchorId="6925E764">
          <v:shape id="_x0000_s1032" type="#_x0000_t202" style="position:absolute;left:0;text-align:left;margin-left:66.6pt;margin-top:16.3pt;width:462.2pt;height:191.45pt;z-index:-251655168;mso-wrap-distance-left:0;mso-wrap-distance-right:0;mso-position-horizontal-relative:page" filled="f" strokeweight=".48pt">
            <v:textbox inset="0,0,0,0">
              <w:txbxContent>
                <w:p w14:paraId="0D9871C0" w14:textId="77777777" w:rsidR="00967D33" w:rsidRDefault="00214344">
                  <w:pPr>
                    <w:pStyle w:val="BodyText"/>
                    <w:spacing w:line="242" w:lineRule="auto"/>
                    <w:ind w:left="103" w:right="173"/>
                  </w:pPr>
                  <w:r>
                    <w:rPr>
                      <w:color w:val="111111"/>
                    </w:rPr>
                    <w:t xml:space="preserve">Hyaluronic acid is </w:t>
                  </w:r>
                  <w:proofErr w:type="gramStart"/>
                  <w:r>
                    <w:rPr>
                      <w:color w:val="111111"/>
                    </w:rPr>
                    <w:t>similar to</w:t>
                  </w:r>
                  <w:proofErr w:type="gramEnd"/>
                  <w:r>
                    <w:rPr>
                      <w:color w:val="111111"/>
                    </w:rPr>
                    <w:t xml:space="preserve"> a substance that occurs naturally in the joints. It works by acting like a lubricant and shock absorber in the joints and helps the joints to work properly.</w:t>
                  </w:r>
                </w:p>
                <w:p w14:paraId="2C507A17" w14:textId="77777777" w:rsidR="00967D33" w:rsidRDefault="00214344">
                  <w:pPr>
                    <w:pStyle w:val="BodyText"/>
                    <w:ind w:left="103" w:right="113"/>
                  </w:pPr>
                  <w:r>
                    <w:t>Hyaluronic acid injections add to your body's natural supply. You may hear your doctor refer to these injections as "</w:t>
                  </w:r>
                  <w:proofErr w:type="spellStart"/>
                  <w:r>
                    <w:t>viscosupplementation</w:t>
                  </w:r>
                  <w:proofErr w:type="spellEnd"/>
                  <w:r>
                    <w:t>" which literally means they help supplement the fluid in your joints.</w:t>
                  </w:r>
                </w:p>
                <w:p w14:paraId="266885B2" w14:textId="77777777" w:rsidR="00967D33" w:rsidRDefault="00967D33">
                  <w:pPr>
                    <w:pStyle w:val="BodyText"/>
                    <w:spacing w:before="6"/>
                    <w:rPr>
                      <w:sz w:val="21"/>
                    </w:rPr>
                  </w:pPr>
                </w:p>
                <w:p w14:paraId="12DDC021" w14:textId="77777777" w:rsidR="00967D33" w:rsidRDefault="00214344">
                  <w:pPr>
                    <w:pStyle w:val="BodyText"/>
                    <w:ind w:left="103" w:right="221"/>
                  </w:pPr>
                  <w:r>
                    <w:t xml:space="preserve">Evidence on the effectiveness of these injections in mixed, but there is </w:t>
                  </w:r>
                  <w:proofErr w:type="gramStart"/>
                  <w:r>
                    <w:t>sufficient</w:t>
                  </w:r>
                  <w:proofErr w:type="gramEnd"/>
                  <w:r>
                    <w:t xml:space="preserve"> evidence suggesting that treatment has limited gains for the National Institute for Health and Clinical Excellence to conclude that it should not be offered as a treatment for osteoarthritis. It is therefore not normally available on the NHS. If your doctor believes that you have particular circumstances that mean you might particularly benefit from this treatment the Clinical Commissioning Group may consider funding the treatment, however any requests for funding will be considered on a case by case basis and will need to demonstrate why your case is exceptional.</w:t>
                  </w:r>
                </w:p>
              </w:txbxContent>
            </v:textbox>
            <w10:wrap type="topAndBottom" anchorx="page"/>
          </v:shape>
        </w:pict>
      </w:r>
      <w:r w:rsidR="00214344">
        <w:rPr>
          <w:b/>
          <w:sz w:val="24"/>
        </w:rPr>
        <w:t>Plain English Summary:</w:t>
      </w:r>
    </w:p>
    <w:p w14:paraId="5C4ED122" w14:textId="77777777" w:rsidR="00967D33" w:rsidRDefault="00967D33">
      <w:pPr>
        <w:pStyle w:val="BodyText"/>
        <w:spacing w:before="10"/>
        <w:rPr>
          <w:b/>
        </w:rPr>
      </w:pPr>
    </w:p>
    <w:p w14:paraId="56B9E4A9" w14:textId="77777777" w:rsidR="00967D33" w:rsidRDefault="00910DB9">
      <w:pPr>
        <w:spacing w:before="1"/>
        <w:ind w:left="1120"/>
        <w:rPr>
          <w:b/>
          <w:sz w:val="24"/>
        </w:rPr>
      </w:pPr>
      <w:r>
        <w:pict w14:anchorId="6E2ACDD4">
          <v:shape id="_x0000_s1031" type="#_x0000_t202" style="position:absolute;left:0;text-align:left;margin-left:66.6pt;margin-top:16.35pt;width:462.2pt;height:129.4pt;z-index:-251654144;mso-wrap-distance-left:0;mso-wrap-distance-right:0;mso-position-horizontal-relative:page" filled="f" strokeweight=".48pt">
            <v:textbox inset="0,0,0,0">
              <w:txbxContent>
                <w:p w14:paraId="568AF045" w14:textId="77777777" w:rsidR="00967D33" w:rsidRDefault="00214344">
                  <w:pPr>
                    <w:pStyle w:val="BodyText"/>
                    <w:spacing w:before="60"/>
                    <w:ind w:left="103"/>
                    <w:jc w:val="both"/>
                  </w:pPr>
                  <w:r>
                    <w:t>NICE Clinical Guideline 1770 Osteoarthritis</w:t>
                  </w:r>
                </w:p>
                <w:p w14:paraId="68AA07B5" w14:textId="77777777" w:rsidR="00214344" w:rsidRDefault="00214344">
                  <w:pPr>
                    <w:ind w:left="103" w:right="97"/>
                    <w:jc w:val="both"/>
                  </w:pPr>
                </w:p>
                <w:p w14:paraId="7DBFAAE2" w14:textId="2B43F210" w:rsidR="00967D33" w:rsidRDefault="00214344">
                  <w:pPr>
                    <w:ind w:left="103" w:right="97"/>
                    <w:jc w:val="both"/>
                  </w:pPr>
                  <w:proofErr w:type="spellStart"/>
                  <w:r>
                    <w:t>Pennung</w:t>
                  </w:r>
                  <w:proofErr w:type="spellEnd"/>
                  <w:r>
                    <w:t xml:space="preserve"> LI, de </w:t>
                  </w:r>
                  <w:proofErr w:type="spellStart"/>
                  <w:r>
                    <w:t>Bie</w:t>
                  </w:r>
                  <w:proofErr w:type="spellEnd"/>
                  <w:r>
                    <w:t xml:space="preserve"> RA, </w:t>
                  </w:r>
                  <w:proofErr w:type="spellStart"/>
                  <w:r>
                    <w:t>Walenkamp</w:t>
                  </w:r>
                  <w:proofErr w:type="spellEnd"/>
                  <w:r>
                    <w:t xml:space="preserve"> GH, </w:t>
                  </w:r>
                  <w:r>
                    <w:rPr>
                      <w:i/>
                    </w:rPr>
                    <w:t xml:space="preserve">The effectiveness of hyaluronic acid or corticosteroid in patients with subacromial impingement, </w:t>
                  </w:r>
                  <w:r>
                    <w:t>2012, Journal of bone and joint surgery</w:t>
                  </w:r>
                </w:p>
                <w:p w14:paraId="3D0BA89F" w14:textId="77777777" w:rsidR="00967D33" w:rsidRDefault="00967D33">
                  <w:pPr>
                    <w:pStyle w:val="BodyText"/>
                    <w:spacing w:before="6"/>
                    <w:rPr>
                      <w:sz w:val="32"/>
                    </w:rPr>
                  </w:pPr>
                </w:p>
                <w:p w14:paraId="0350B3CE" w14:textId="77777777" w:rsidR="00967D33" w:rsidRDefault="00214344">
                  <w:pPr>
                    <w:ind w:left="103" w:right="94"/>
                    <w:jc w:val="both"/>
                  </w:pPr>
                  <w:proofErr w:type="spellStart"/>
                  <w:r>
                    <w:t>Degroot</w:t>
                  </w:r>
                  <w:proofErr w:type="spellEnd"/>
                  <w:r>
                    <w:t xml:space="preserve"> H, </w:t>
                  </w:r>
                  <w:proofErr w:type="spellStart"/>
                  <w:r>
                    <w:t>Uzunishvili</w:t>
                  </w:r>
                  <w:proofErr w:type="spellEnd"/>
                  <w:r>
                    <w:t xml:space="preserve"> S, Weir R, Al-</w:t>
                  </w:r>
                  <w:proofErr w:type="spellStart"/>
                  <w:r>
                    <w:t>omar</w:t>
                  </w:r>
                  <w:proofErr w:type="spellEnd"/>
                  <w:r>
                    <w:t xml:space="preserve"> A, Gomes B, </w:t>
                  </w:r>
                  <w:r>
                    <w:rPr>
                      <w:i/>
                    </w:rPr>
                    <w:t xml:space="preserve">Intra-articular injections of hyaluronic acid </w:t>
                  </w:r>
                  <w:proofErr w:type="gramStart"/>
                  <w:r>
                    <w:rPr>
                      <w:i/>
                    </w:rPr>
                    <w:t>is</w:t>
                  </w:r>
                  <w:proofErr w:type="gramEnd"/>
                  <w:r>
                    <w:rPr>
                      <w:i/>
                    </w:rPr>
                    <w:t xml:space="preserve"> not superior to saline solution injection for ankle arthritis, </w:t>
                  </w:r>
                  <w:r>
                    <w:t>2012</w:t>
                  </w:r>
                  <w:r>
                    <w:rPr>
                      <w:i/>
                    </w:rPr>
                    <w:t xml:space="preserve">, </w:t>
                  </w:r>
                  <w:r>
                    <w:t>Journal of bone health and joint surgery.</w:t>
                  </w:r>
                </w:p>
              </w:txbxContent>
            </v:textbox>
            <w10:wrap type="topAndBottom" anchorx="page"/>
          </v:shape>
        </w:pict>
      </w:r>
      <w:r w:rsidR="00214344">
        <w:rPr>
          <w:b/>
          <w:sz w:val="24"/>
        </w:rPr>
        <w:t>Evidence base:</w:t>
      </w:r>
    </w:p>
    <w:p w14:paraId="34860308" w14:textId="77777777" w:rsidR="00967D33" w:rsidRDefault="00967D33">
      <w:pPr>
        <w:pStyle w:val="BodyText"/>
        <w:spacing w:before="10"/>
        <w:rPr>
          <w:b/>
        </w:rPr>
      </w:pPr>
    </w:p>
    <w:p w14:paraId="142F295E" w14:textId="77777777" w:rsidR="00967D33" w:rsidRDefault="00214344">
      <w:pPr>
        <w:spacing w:line="278" w:lineRule="auto"/>
        <w:ind w:left="1120" w:right="2795"/>
        <w:rPr>
          <w:sz w:val="24"/>
        </w:rPr>
      </w:pPr>
      <w:r>
        <w:rPr>
          <w:sz w:val="24"/>
        </w:rPr>
        <w:t xml:space="preserve">Link to application form – Individual Funding Request application form </w:t>
      </w:r>
      <w:proofErr w:type="gramStart"/>
      <w:r>
        <w:rPr>
          <w:sz w:val="24"/>
        </w:rPr>
        <w:t>For</w:t>
      </w:r>
      <w:proofErr w:type="gramEnd"/>
      <w:r>
        <w:rPr>
          <w:sz w:val="24"/>
        </w:rPr>
        <w:t xml:space="preserve"> further information please contact </w:t>
      </w:r>
      <w:hyperlink r:id="rId7">
        <w:r>
          <w:rPr>
            <w:color w:val="0000FF"/>
            <w:sz w:val="24"/>
            <w:u w:val="single" w:color="0000FF"/>
          </w:rPr>
          <w:t>GLCCG.IFR@nhs.net</w:t>
        </w:r>
      </w:hyperlink>
    </w:p>
    <w:p w14:paraId="7052BE5B" w14:textId="77777777" w:rsidR="00967D33" w:rsidRDefault="00967D33">
      <w:pPr>
        <w:spacing w:line="278" w:lineRule="auto"/>
        <w:rPr>
          <w:sz w:val="24"/>
        </w:rPr>
        <w:sectPr w:rsidR="00967D33">
          <w:footerReference w:type="default" r:id="rId8"/>
          <w:type w:val="continuous"/>
          <w:pgSz w:w="11920" w:h="16850"/>
          <w:pgMar w:top="260" w:right="260" w:bottom="1180" w:left="320" w:header="720" w:footer="991" w:gutter="0"/>
          <w:pgNumType w:start="1"/>
          <w:cols w:space="720"/>
        </w:sectPr>
      </w:pPr>
    </w:p>
    <w:p w14:paraId="7B8C4A0B" w14:textId="1CF1C983" w:rsidR="00967D33" w:rsidRDefault="00967D33">
      <w:pPr>
        <w:pStyle w:val="BodyText"/>
        <w:spacing w:before="5"/>
        <w:rPr>
          <w:sz w:val="20"/>
        </w:rPr>
      </w:pPr>
    </w:p>
    <w:p w14:paraId="0DFB1836" w14:textId="74DC8B2F" w:rsidR="00214344" w:rsidRDefault="00214344">
      <w:pPr>
        <w:pStyle w:val="BodyText"/>
        <w:spacing w:before="5"/>
        <w:rPr>
          <w:sz w:val="20"/>
        </w:rPr>
      </w:pPr>
    </w:p>
    <w:p w14:paraId="4BD4736C" w14:textId="0B785662" w:rsidR="00214344" w:rsidRDefault="00910DB9">
      <w:pPr>
        <w:pStyle w:val="BodyText"/>
        <w:spacing w:before="5"/>
        <w:rPr>
          <w:sz w:val="20"/>
        </w:rPr>
      </w:pPr>
      <w:r>
        <w:rPr>
          <w:noProof/>
        </w:rPr>
        <w:pict w14:anchorId="1F16F2E7">
          <v:shape id="Text Box 2" o:spid="_x0000_s1037" type="#_x0000_t202" style="position:absolute;margin-left:45.6pt;margin-top:7.15pt;width:226.8pt;height:74.4pt;z-index:25166438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w:txbxContent>
                <w:p w14:paraId="19ADA536" w14:textId="6060BCAE" w:rsidR="00214344" w:rsidRDefault="00214344" w:rsidP="00214344">
                  <w:pPr>
                    <w:spacing w:before="70"/>
                    <w:ind w:left="144"/>
                    <w:rPr>
                      <w:rFonts w:ascii="Calibri"/>
                      <w:b/>
                    </w:rPr>
                  </w:pPr>
                  <w:r>
                    <w:rPr>
                      <w:rFonts w:ascii="Calibri"/>
                      <w:b/>
                    </w:rPr>
                    <w:t>Policy Category:</w:t>
                  </w:r>
                </w:p>
                <w:p w14:paraId="35A7C2B0" w14:textId="77777777" w:rsidR="00214344" w:rsidRDefault="00214344" w:rsidP="00214344">
                  <w:pPr>
                    <w:spacing w:before="36"/>
                    <w:ind w:left="144"/>
                    <w:rPr>
                      <w:rFonts w:ascii="Calibri"/>
                      <w:b/>
                    </w:rPr>
                  </w:pPr>
                  <w:r>
                    <w:rPr>
                      <w:rFonts w:ascii="Calibri"/>
                      <w:b/>
                      <w:color w:val="FF0000"/>
                    </w:rPr>
                    <w:t>INNF</w:t>
                  </w:r>
                </w:p>
                <w:p w14:paraId="7FE4AB02" w14:textId="77777777" w:rsidR="00214344" w:rsidRDefault="00214344" w:rsidP="00214344">
                  <w:pPr>
                    <w:spacing w:before="36" w:line="278" w:lineRule="auto"/>
                    <w:ind w:left="144" w:right="977"/>
                    <w:rPr>
                      <w:rFonts w:ascii="Calibri"/>
                      <w:b/>
                    </w:rPr>
                  </w:pPr>
                  <w:r>
                    <w:rPr>
                      <w:rFonts w:ascii="Calibri"/>
                      <w:b/>
                    </w:rPr>
                    <w:t xml:space="preserve">Who usually applies for funding? </w:t>
                  </w:r>
                  <w:r>
                    <w:rPr>
                      <w:rFonts w:ascii="Calibri"/>
                      <w:b/>
                      <w:color w:val="FF0000"/>
                    </w:rPr>
                    <w:t>GP/Cons</w:t>
                  </w:r>
                </w:p>
                <w:p w14:paraId="121573A2" w14:textId="798437E1" w:rsidR="00214344" w:rsidRDefault="00214344"/>
              </w:txbxContent>
            </v:textbox>
            <w10:wrap type="square"/>
          </v:shape>
        </w:pict>
      </w:r>
    </w:p>
    <w:p w14:paraId="41D3CC9A" w14:textId="7442481A" w:rsidR="00214344" w:rsidRDefault="00214344">
      <w:pPr>
        <w:pStyle w:val="BodyText"/>
        <w:spacing w:before="5"/>
        <w:rPr>
          <w:sz w:val="20"/>
        </w:rPr>
      </w:pPr>
    </w:p>
    <w:p w14:paraId="2DD4FE5D" w14:textId="5EE17CA9" w:rsidR="00214344" w:rsidRDefault="00214344">
      <w:pPr>
        <w:pStyle w:val="BodyText"/>
        <w:spacing w:before="5"/>
        <w:rPr>
          <w:sz w:val="20"/>
        </w:rPr>
      </w:pPr>
      <w:r>
        <w:rPr>
          <w:sz w:val="20"/>
        </w:rPr>
        <w:t xml:space="preserve">                  </w:t>
      </w:r>
    </w:p>
    <w:p w14:paraId="0A2B39C7" w14:textId="37543945" w:rsidR="00214344" w:rsidRDefault="00214344">
      <w:pPr>
        <w:pStyle w:val="BodyText"/>
        <w:spacing w:before="5"/>
        <w:rPr>
          <w:sz w:val="20"/>
        </w:rPr>
      </w:pPr>
    </w:p>
    <w:p w14:paraId="3525EBD3" w14:textId="0AD4DCBD" w:rsidR="00214344" w:rsidRDefault="00214344">
      <w:pPr>
        <w:pStyle w:val="BodyText"/>
        <w:spacing w:before="5"/>
        <w:rPr>
          <w:sz w:val="20"/>
        </w:rPr>
      </w:pPr>
    </w:p>
    <w:p w14:paraId="23250565" w14:textId="5E4CB926" w:rsidR="00214344" w:rsidRDefault="00214344">
      <w:pPr>
        <w:pStyle w:val="BodyText"/>
        <w:spacing w:before="5"/>
        <w:rPr>
          <w:sz w:val="20"/>
        </w:rPr>
      </w:pPr>
    </w:p>
    <w:p w14:paraId="4067CF41" w14:textId="77777777" w:rsidR="00214344" w:rsidRDefault="00214344">
      <w:pPr>
        <w:pStyle w:val="BodyText"/>
        <w:spacing w:before="5"/>
        <w:rPr>
          <w:sz w:val="20"/>
        </w:rPr>
      </w:pPr>
    </w:p>
    <w:p w14:paraId="75E620B5" w14:textId="7A335405" w:rsidR="00214344" w:rsidRDefault="00214344">
      <w:pPr>
        <w:pStyle w:val="BodyText"/>
        <w:spacing w:before="5"/>
        <w:rPr>
          <w:sz w:val="20"/>
        </w:rPr>
      </w:pPr>
    </w:p>
    <w:p w14:paraId="1E2B4AD7" w14:textId="7DE2D9DE" w:rsidR="00214344" w:rsidRDefault="00214344">
      <w:pPr>
        <w:pStyle w:val="BodyText"/>
        <w:spacing w:before="5"/>
        <w:rPr>
          <w:sz w:val="20"/>
        </w:rPr>
      </w:pPr>
    </w:p>
    <w:p w14:paraId="02CD0998" w14:textId="0EF5CE16" w:rsidR="00214344" w:rsidRDefault="00214344">
      <w:pPr>
        <w:pStyle w:val="BodyText"/>
        <w:spacing w:before="5"/>
        <w:rPr>
          <w:sz w:val="20"/>
        </w:rPr>
      </w:pPr>
    </w:p>
    <w:tbl>
      <w:tblPr>
        <w:tblStyle w:val="TableGrid"/>
        <w:tblW w:w="0" w:type="auto"/>
        <w:tblInd w:w="1101" w:type="dxa"/>
        <w:tblLook w:val="04A0" w:firstRow="1" w:lastRow="0" w:firstColumn="1" w:lastColumn="0" w:noHBand="0" w:noVBand="1"/>
      </w:tblPr>
      <w:tblGrid>
        <w:gridCol w:w="5953"/>
        <w:gridCol w:w="3260"/>
      </w:tblGrid>
      <w:tr w:rsidR="00214344" w14:paraId="29516B71" w14:textId="77777777" w:rsidTr="00214344">
        <w:tc>
          <w:tcPr>
            <w:tcW w:w="5953" w:type="dxa"/>
          </w:tcPr>
          <w:p w14:paraId="7E25717D" w14:textId="64E21BC1" w:rsidR="00214344" w:rsidRPr="00214344" w:rsidRDefault="00214344">
            <w:pPr>
              <w:pStyle w:val="BodyText"/>
              <w:spacing w:before="5"/>
              <w:rPr>
                <w:b/>
                <w:bCs/>
              </w:rPr>
            </w:pPr>
            <w:r w:rsidRPr="00214344">
              <w:rPr>
                <w:b/>
                <w:bCs/>
              </w:rPr>
              <w:t>Date of publication</w:t>
            </w:r>
          </w:p>
        </w:tc>
        <w:tc>
          <w:tcPr>
            <w:tcW w:w="3260" w:type="dxa"/>
          </w:tcPr>
          <w:p w14:paraId="7D7FC264" w14:textId="06A3926D" w:rsidR="00214344" w:rsidRPr="00214344" w:rsidRDefault="00214344">
            <w:pPr>
              <w:pStyle w:val="BodyText"/>
              <w:spacing w:before="5"/>
            </w:pPr>
            <w:r w:rsidRPr="00214344">
              <w:t>12 October 2015</w:t>
            </w:r>
          </w:p>
        </w:tc>
      </w:tr>
      <w:tr w:rsidR="00214344" w14:paraId="619ED823" w14:textId="77777777" w:rsidTr="00214344">
        <w:tc>
          <w:tcPr>
            <w:tcW w:w="5953" w:type="dxa"/>
          </w:tcPr>
          <w:p w14:paraId="3393A44B" w14:textId="10FA0436" w:rsidR="00214344" w:rsidRPr="00214344" w:rsidRDefault="00214344">
            <w:pPr>
              <w:pStyle w:val="BodyText"/>
              <w:spacing w:before="5"/>
              <w:rPr>
                <w:b/>
                <w:bCs/>
              </w:rPr>
            </w:pPr>
            <w:r w:rsidRPr="00214344">
              <w:rPr>
                <w:b/>
                <w:bCs/>
              </w:rPr>
              <w:t>Policy review date</w:t>
            </w:r>
          </w:p>
        </w:tc>
        <w:tc>
          <w:tcPr>
            <w:tcW w:w="3260" w:type="dxa"/>
          </w:tcPr>
          <w:p w14:paraId="4212ADB5" w14:textId="07D6BA79" w:rsidR="00214344" w:rsidRPr="00214344" w:rsidRDefault="00214344">
            <w:pPr>
              <w:pStyle w:val="BodyText"/>
              <w:spacing w:before="5"/>
            </w:pPr>
            <w:r w:rsidRPr="00214344">
              <w:t>March 2025</w:t>
            </w:r>
          </w:p>
        </w:tc>
      </w:tr>
    </w:tbl>
    <w:p w14:paraId="06EFC883" w14:textId="77777777" w:rsidR="00214344" w:rsidRDefault="00214344">
      <w:pPr>
        <w:pStyle w:val="BodyText"/>
        <w:spacing w:before="5"/>
        <w:rPr>
          <w:sz w:val="20"/>
        </w:rPr>
      </w:pPr>
    </w:p>
    <w:p w14:paraId="50017444" w14:textId="6986D264" w:rsidR="00967D33" w:rsidRDefault="00214344">
      <w:pPr>
        <w:pStyle w:val="Heading1"/>
        <w:spacing w:before="92" w:after="48"/>
      </w:pPr>
      <w:r>
        <w:t>Consultation</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967D33" w14:paraId="3FA0D08D" w14:textId="77777777">
        <w:trPr>
          <w:trHeight w:val="254"/>
        </w:trPr>
        <w:tc>
          <w:tcPr>
            <w:tcW w:w="5922" w:type="dxa"/>
          </w:tcPr>
          <w:p w14:paraId="62D640AC" w14:textId="77777777" w:rsidR="00967D33" w:rsidRDefault="00214344">
            <w:pPr>
              <w:pStyle w:val="TableParagraph"/>
              <w:spacing w:line="234" w:lineRule="exact"/>
              <w:rPr>
                <w:b/>
              </w:rPr>
            </w:pPr>
            <w:r>
              <w:rPr>
                <w:b/>
              </w:rPr>
              <w:t>Consultee</w:t>
            </w:r>
          </w:p>
        </w:tc>
        <w:tc>
          <w:tcPr>
            <w:tcW w:w="3322" w:type="dxa"/>
          </w:tcPr>
          <w:p w14:paraId="507BFCDF" w14:textId="77777777" w:rsidR="00967D33" w:rsidRDefault="00214344">
            <w:pPr>
              <w:pStyle w:val="TableParagraph"/>
              <w:spacing w:line="234" w:lineRule="exact"/>
              <w:rPr>
                <w:b/>
              </w:rPr>
            </w:pPr>
            <w:r>
              <w:rPr>
                <w:b/>
              </w:rPr>
              <w:t>Date</w:t>
            </w:r>
          </w:p>
        </w:tc>
      </w:tr>
      <w:tr w:rsidR="00967D33" w14:paraId="05F85F0D" w14:textId="77777777">
        <w:trPr>
          <w:trHeight w:val="251"/>
        </w:trPr>
        <w:tc>
          <w:tcPr>
            <w:tcW w:w="5922" w:type="dxa"/>
          </w:tcPr>
          <w:p w14:paraId="176D8D63" w14:textId="77777777" w:rsidR="00967D33" w:rsidRDefault="00214344">
            <w:pPr>
              <w:pStyle w:val="TableParagraph"/>
              <w:spacing w:line="232" w:lineRule="exact"/>
            </w:pPr>
            <w:r>
              <w:t>MSK Clinical Programme Group</w:t>
            </w:r>
          </w:p>
        </w:tc>
        <w:tc>
          <w:tcPr>
            <w:tcW w:w="3322" w:type="dxa"/>
          </w:tcPr>
          <w:p w14:paraId="60D5D279" w14:textId="77777777" w:rsidR="00967D33" w:rsidRDefault="00214344">
            <w:pPr>
              <w:pStyle w:val="TableParagraph"/>
              <w:spacing w:line="232" w:lineRule="exact"/>
            </w:pPr>
            <w:r>
              <w:t>7</w:t>
            </w:r>
            <w:r>
              <w:rPr>
                <w:vertAlign w:val="superscript"/>
              </w:rPr>
              <w:t>th</w:t>
            </w:r>
            <w:r>
              <w:t xml:space="preserve"> July 2015</w:t>
            </w:r>
          </w:p>
        </w:tc>
      </w:tr>
      <w:tr w:rsidR="00967D33" w14:paraId="59278CEA" w14:textId="77777777">
        <w:trPr>
          <w:trHeight w:val="254"/>
        </w:trPr>
        <w:tc>
          <w:tcPr>
            <w:tcW w:w="5922" w:type="dxa"/>
          </w:tcPr>
          <w:p w14:paraId="24632933" w14:textId="77777777" w:rsidR="00967D33" w:rsidRDefault="00214344">
            <w:pPr>
              <w:pStyle w:val="TableParagraph"/>
              <w:spacing w:line="234" w:lineRule="exact"/>
            </w:pPr>
            <w:r>
              <w:t>GHNHSFT (via CPG)</w:t>
            </w:r>
          </w:p>
        </w:tc>
        <w:tc>
          <w:tcPr>
            <w:tcW w:w="3322" w:type="dxa"/>
          </w:tcPr>
          <w:p w14:paraId="0B305B34" w14:textId="77777777" w:rsidR="00967D33" w:rsidRDefault="00214344">
            <w:pPr>
              <w:pStyle w:val="TableParagraph"/>
              <w:spacing w:line="234" w:lineRule="exact"/>
            </w:pPr>
            <w:r>
              <w:t>7</w:t>
            </w:r>
            <w:r>
              <w:rPr>
                <w:vertAlign w:val="superscript"/>
              </w:rPr>
              <w:t>th</w:t>
            </w:r>
            <w:r>
              <w:t xml:space="preserve"> July 2015</w:t>
            </w:r>
          </w:p>
        </w:tc>
      </w:tr>
      <w:tr w:rsidR="00967D33" w14:paraId="53148D38" w14:textId="77777777">
        <w:trPr>
          <w:trHeight w:val="251"/>
        </w:trPr>
        <w:tc>
          <w:tcPr>
            <w:tcW w:w="5922" w:type="dxa"/>
          </w:tcPr>
          <w:p w14:paraId="5D55E198" w14:textId="77777777" w:rsidR="00967D33" w:rsidRDefault="00214344">
            <w:pPr>
              <w:pStyle w:val="TableParagraph"/>
              <w:spacing w:line="232" w:lineRule="exact"/>
            </w:pPr>
            <w:r>
              <w:t>GP Membership (via CCG Live/What’s New This Week)</w:t>
            </w:r>
          </w:p>
        </w:tc>
        <w:tc>
          <w:tcPr>
            <w:tcW w:w="3322" w:type="dxa"/>
          </w:tcPr>
          <w:p w14:paraId="42BC7656" w14:textId="77777777" w:rsidR="00967D33" w:rsidRDefault="00214344">
            <w:pPr>
              <w:pStyle w:val="TableParagraph"/>
              <w:spacing w:line="232" w:lineRule="exact"/>
            </w:pPr>
            <w:r>
              <w:t>10</w:t>
            </w:r>
            <w:r>
              <w:rPr>
                <w:vertAlign w:val="superscript"/>
              </w:rPr>
              <w:t>th</w:t>
            </w:r>
            <w:r>
              <w:t xml:space="preserve"> July – 7</w:t>
            </w:r>
            <w:r>
              <w:rPr>
                <w:vertAlign w:val="superscript"/>
              </w:rPr>
              <w:t>th</w:t>
            </w:r>
            <w:r>
              <w:t xml:space="preserve"> August 2015</w:t>
            </w:r>
          </w:p>
        </w:tc>
      </w:tr>
      <w:tr w:rsidR="00967D33" w14:paraId="7AE5B57F" w14:textId="77777777">
        <w:trPr>
          <w:trHeight w:val="253"/>
        </w:trPr>
        <w:tc>
          <w:tcPr>
            <w:tcW w:w="5922" w:type="dxa"/>
            <w:shd w:val="clear" w:color="auto" w:fill="C4BA94"/>
          </w:tcPr>
          <w:p w14:paraId="567A7E3A" w14:textId="77777777" w:rsidR="00967D33" w:rsidRDefault="00967D33">
            <w:pPr>
              <w:pStyle w:val="TableParagraph"/>
              <w:ind w:left="0"/>
              <w:rPr>
                <w:rFonts w:ascii="Times New Roman"/>
                <w:sz w:val="18"/>
              </w:rPr>
            </w:pPr>
          </w:p>
        </w:tc>
        <w:tc>
          <w:tcPr>
            <w:tcW w:w="3322" w:type="dxa"/>
            <w:shd w:val="clear" w:color="auto" w:fill="C4BA94"/>
          </w:tcPr>
          <w:p w14:paraId="34494B97" w14:textId="77777777" w:rsidR="00967D33" w:rsidRDefault="00967D33">
            <w:pPr>
              <w:pStyle w:val="TableParagraph"/>
              <w:ind w:left="0"/>
              <w:rPr>
                <w:rFonts w:ascii="Times New Roman"/>
                <w:sz w:val="18"/>
              </w:rPr>
            </w:pPr>
          </w:p>
        </w:tc>
      </w:tr>
      <w:tr w:rsidR="00967D33" w14:paraId="0C353E24" w14:textId="77777777">
        <w:trPr>
          <w:trHeight w:val="506"/>
        </w:trPr>
        <w:tc>
          <w:tcPr>
            <w:tcW w:w="5922" w:type="dxa"/>
          </w:tcPr>
          <w:p w14:paraId="5970BA94" w14:textId="77777777" w:rsidR="00967D33" w:rsidRDefault="00214344">
            <w:pPr>
              <w:pStyle w:val="TableParagraph"/>
              <w:spacing w:line="246" w:lineRule="exact"/>
            </w:pPr>
            <w:r>
              <w:t>Has the consultation included patient representatives?</w:t>
            </w:r>
          </w:p>
        </w:tc>
        <w:tc>
          <w:tcPr>
            <w:tcW w:w="3322" w:type="dxa"/>
          </w:tcPr>
          <w:p w14:paraId="54B299E7" w14:textId="77777777" w:rsidR="00967D33" w:rsidRDefault="00214344">
            <w:pPr>
              <w:pStyle w:val="TableParagraph"/>
              <w:spacing w:line="248" w:lineRule="exact"/>
            </w:pPr>
            <w:r>
              <w:t>Yes (via CPG and ECCP</w:t>
            </w:r>
          </w:p>
          <w:p w14:paraId="62C72076" w14:textId="77777777" w:rsidR="00967D33" w:rsidRDefault="00214344">
            <w:pPr>
              <w:pStyle w:val="TableParagraph"/>
              <w:spacing w:before="1" w:line="237" w:lineRule="exact"/>
            </w:pPr>
            <w:r>
              <w:t>membership)</w:t>
            </w:r>
          </w:p>
        </w:tc>
      </w:tr>
    </w:tbl>
    <w:p w14:paraId="719D9470" w14:textId="77777777" w:rsidR="00967D33" w:rsidRDefault="00967D33">
      <w:pPr>
        <w:pStyle w:val="BodyText"/>
        <w:spacing w:before="11"/>
        <w:rPr>
          <w:b/>
          <w:sz w:val="26"/>
        </w:rPr>
      </w:pPr>
    </w:p>
    <w:p w14:paraId="455470B7" w14:textId="77777777" w:rsidR="00967D33" w:rsidRDefault="00214344">
      <w:pPr>
        <w:spacing w:after="51"/>
        <w:ind w:left="1120"/>
        <w:rPr>
          <w:b/>
          <w:sz w:val="24"/>
        </w:rPr>
      </w:pPr>
      <w:r>
        <w:rPr>
          <w:b/>
          <w:sz w:val="24"/>
        </w:rPr>
        <w:t>Policy sign</w:t>
      </w:r>
      <w:r>
        <w:rPr>
          <w:b/>
          <w:spacing w:val="-4"/>
          <w:sz w:val="24"/>
        </w:rPr>
        <w:t xml:space="preserve"> </w:t>
      </w:r>
      <w:r>
        <w:rPr>
          <w:b/>
          <w:sz w:val="24"/>
        </w:rPr>
        <w:t>off</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967D33" w14:paraId="2502B9B5" w14:textId="77777777">
        <w:trPr>
          <w:trHeight w:val="251"/>
        </w:trPr>
        <w:tc>
          <w:tcPr>
            <w:tcW w:w="5922" w:type="dxa"/>
          </w:tcPr>
          <w:p w14:paraId="53750933" w14:textId="77777777" w:rsidR="00967D33" w:rsidRDefault="00214344">
            <w:pPr>
              <w:pStyle w:val="TableParagraph"/>
              <w:spacing w:line="232" w:lineRule="exact"/>
              <w:rPr>
                <w:b/>
              </w:rPr>
            </w:pPr>
            <w:r>
              <w:rPr>
                <w:b/>
              </w:rPr>
              <w:t>Reviewing Body</w:t>
            </w:r>
          </w:p>
        </w:tc>
        <w:tc>
          <w:tcPr>
            <w:tcW w:w="3322" w:type="dxa"/>
          </w:tcPr>
          <w:p w14:paraId="4BEED8DF" w14:textId="77777777" w:rsidR="00967D33" w:rsidRDefault="00214344">
            <w:pPr>
              <w:pStyle w:val="TableParagraph"/>
              <w:spacing w:line="232" w:lineRule="exact"/>
              <w:rPr>
                <w:b/>
              </w:rPr>
            </w:pPr>
            <w:r>
              <w:rPr>
                <w:b/>
              </w:rPr>
              <w:t>Date of review</w:t>
            </w:r>
          </w:p>
        </w:tc>
      </w:tr>
      <w:tr w:rsidR="00967D33" w14:paraId="07EE136C" w14:textId="77777777">
        <w:trPr>
          <w:trHeight w:val="256"/>
        </w:trPr>
        <w:tc>
          <w:tcPr>
            <w:tcW w:w="5922" w:type="dxa"/>
          </w:tcPr>
          <w:p w14:paraId="749B0E4C" w14:textId="77777777" w:rsidR="00967D33" w:rsidRDefault="00214344">
            <w:pPr>
              <w:pStyle w:val="TableParagraph"/>
              <w:spacing w:line="236" w:lineRule="exact"/>
            </w:pPr>
            <w:r>
              <w:t>Effective Clinical Commissioning Policy Group</w:t>
            </w:r>
          </w:p>
        </w:tc>
        <w:tc>
          <w:tcPr>
            <w:tcW w:w="3322" w:type="dxa"/>
          </w:tcPr>
          <w:p w14:paraId="7B8066A0" w14:textId="77777777" w:rsidR="00967D33" w:rsidRDefault="00214344">
            <w:pPr>
              <w:pStyle w:val="TableParagraph"/>
              <w:spacing w:line="236" w:lineRule="exact"/>
            </w:pPr>
            <w:r>
              <w:t>3</w:t>
            </w:r>
            <w:r>
              <w:rPr>
                <w:vertAlign w:val="superscript"/>
              </w:rPr>
              <w:t>rd</w:t>
            </w:r>
            <w:r>
              <w:t xml:space="preserve"> August 2015</w:t>
            </w:r>
          </w:p>
        </w:tc>
      </w:tr>
      <w:tr w:rsidR="00967D33" w14:paraId="17F5CD25" w14:textId="77777777">
        <w:trPr>
          <w:trHeight w:val="251"/>
        </w:trPr>
        <w:tc>
          <w:tcPr>
            <w:tcW w:w="5922" w:type="dxa"/>
          </w:tcPr>
          <w:p w14:paraId="536BBD1F" w14:textId="77777777" w:rsidR="00967D33" w:rsidRDefault="00214344">
            <w:pPr>
              <w:pStyle w:val="TableParagraph"/>
              <w:spacing w:line="232" w:lineRule="exact"/>
            </w:pPr>
            <w:r>
              <w:t>Integrated Governance and Quality Committee</w:t>
            </w:r>
          </w:p>
        </w:tc>
        <w:tc>
          <w:tcPr>
            <w:tcW w:w="3322" w:type="dxa"/>
          </w:tcPr>
          <w:p w14:paraId="67433284" w14:textId="77777777" w:rsidR="00967D33" w:rsidRDefault="00214344">
            <w:pPr>
              <w:pStyle w:val="TableParagraph"/>
              <w:spacing w:line="232" w:lineRule="exact"/>
            </w:pPr>
            <w:r>
              <w:t>20</w:t>
            </w:r>
            <w:r>
              <w:rPr>
                <w:vertAlign w:val="superscript"/>
              </w:rPr>
              <w:t>th</w:t>
            </w:r>
            <w:r>
              <w:t xml:space="preserve"> August 2015</w:t>
            </w:r>
          </w:p>
        </w:tc>
      </w:tr>
    </w:tbl>
    <w:p w14:paraId="4BCBBA17" w14:textId="77777777" w:rsidR="00967D33" w:rsidRDefault="00967D33">
      <w:pPr>
        <w:pStyle w:val="BodyText"/>
        <w:spacing w:before="5"/>
        <w:rPr>
          <w:b/>
          <w:sz w:val="21"/>
        </w:rPr>
      </w:pPr>
    </w:p>
    <w:p w14:paraId="61AEE04A" w14:textId="77777777" w:rsidR="00967D33" w:rsidRDefault="00214344">
      <w:pPr>
        <w:pStyle w:val="Heading2"/>
        <w:spacing w:before="0" w:after="7"/>
        <w:ind w:left="1101"/>
        <w:rPr>
          <w:rFonts w:ascii="Arial"/>
        </w:rPr>
      </w:pPr>
      <w:r>
        <w:rPr>
          <w:rFonts w:ascii="Arial"/>
        </w:rPr>
        <w:t>Version</w:t>
      </w:r>
      <w:r>
        <w:rPr>
          <w:rFonts w:ascii="Arial"/>
          <w:spacing w:val="-5"/>
        </w:rPr>
        <w:t xml:space="preserve"> </w:t>
      </w:r>
      <w:r>
        <w:rPr>
          <w:rFonts w:ascii="Arial"/>
        </w:rPr>
        <w:t>Control</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2410"/>
        <w:gridCol w:w="994"/>
        <w:gridCol w:w="4395"/>
      </w:tblGrid>
      <w:tr w:rsidR="00967D33" w14:paraId="5A97B2AC" w14:textId="77777777">
        <w:trPr>
          <w:trHeight w:val="290"/>
        </w:trPr>
        <w:tc>
          <w:tcPr>
            <w:tcW w:w="1416" w:type="dxa"/>
          </w:tcPr>
          <w:p w14:paraId="0CDF7238" w14:textId="77777777" w:rsidR="00967D33" w:rsidRDefault="00214344">
            <w:pPr>
              <w:pStyle w:val="TableParagraph"/>
              <w:spacing w:line="248" w:lineRule="exact"/>
              <w:rPr>
                <w:b/>
              </w:rPr>
            </w:pPr>
            <w:r>
              <w:rPr>
                <w:b/>
              </w:rPr>
              <w:t>Version No</w:t>
            </w:r>
          </w:p>
        </w:tc>
        <w:tc>
          <w:tcPr>
            <w:tcW w:w="2410" w:type="dxa"/>
          </w:tcPr>
          <w:p w14:paraId="732D8111" w14:textId="77777777" w:rsidR="00967D33" w:rsidRDefault="00214344">
            <w:pPr>
              <w:pStyle w:val="TableParagraph"/>
              <w:spacing w:line="248" w:lineRule="exact"/>
              <w:rPr>
                <w:b/>
              </w:rPr>
            </w:pPr>
            <w:r>
              <w:rPr>
                <w:b/>
              </w:rPr>
              <w:t>Type of Change</w:t>
            </w:r>
          </w:p>
        </w:tc>
        <w:tc>
          <w:tcPr>
            <w:tcW w:w="994" w:type="dxa"/>
          </w:tcPr>
          <w:p w14:paraId="33BD6841" w14:textId="77777777" w:rsidR="00967D33" w:rsidRDefault="00214344">
            <w:pPr>
              <w:pStyle w:val="TableParagraph"/>
              <w:spacing w:line="248" w:lineRule="exact"/>
              <w:ind w:left="110"/>
              <w:rPr>
                <w:b/>
              </w:rPr>
            </w:pPr>
            <w:r>
              <w:rPr>
                <w:b/>
              </w:rPr>
              <w:t>Date</w:t>
            </w:r>
          </w:p>
        </w:tc>
        <w:tc>
          <w:tcPr>
            <w:tcW w:w="4395" w:type="dxa"/>
          </w:tcPr>
          <w:p w14:paraId="045561DB" w14:textId="77777777" w:rsidR="00967D33" w:rsidRDefault="00214344">
            <w:pPr>
              <w:pStyle w:val="TableParagraph"/>
              <w:spacing w:line="248" w:lineRule="exact"/>
              <w:rPr>
                <w:b/>
              </w:rPr>
            </w:pPr>
            <w:r>
              <w:rPr>
                <w:b/>
              </w:rPr>
              <w:t>Description of Change</w:t>
            </w:r>
          </w:p>
        </w:tc>
      </w:tr>
      <w:tr w:rsidR="00967D33" w14:paraId="5F939F84" w14:textId="77777777">
        <w:trPr>
          <w:trHeight w:val="318"/>
        </w:trPr>
        <w:tc>
          <w:tcPr>
            <w:tcW w:w="1416" w:type="dxa"/>
          </w:tcPr>
          <w:p w14:paraId="08AE5F75" w14:textId="77777777" w:rsidR="00967D33" w:rsidRDefault="00214344" w:rsidP="00214344">
            <w:pPr>
              <w:pStyle w:val="TableParagraph"/>
              <w:spacing w:before="28"/>
              <w:ind w:left="57"/>
            </w:pPr>
            <w:r>
              <w:t>1</w:t>
            </w:r>
          </w:p>
        </w:tc>
        <w:tc>
          <w:tcPr>
            <w:tcW w:w="2410" w:type="dxa"/>
          </w:tcPr>
          <w:p w14:paraId="2490BF5B" w14:textId="77777777" w:rsidR="00967D33" w:rsidRDefault="00967D33">
            <w:pPr>
              <w:pStyle w:val="TableParagraph"/>
              <w:ind w:left="0"/>
              <w:rPr>
                <w:rFonts w:ascii="Times New Roman"/>
                <w:sz w:val="20"/>
              </w:rPr>
            </w:pPr>
          </w:p>
        </w:tc>
        <w:tc>
          <w:tcPr>
            <w:tcW w:w="994" w:type="dxa"/>
          </w:tcPr>
          <w:p w14:paraId="6009D435" w14:textId="77777777" w:rsidR="00967D33" w:rsidRDefault="00214344" w:rsidP="00214344">
            <w:pPr>
              <w:pStyle w:val="TableParagraph"/>
              <w:spacing w:before="44"/>
              <w:ind w:left="57"/>
            </w:pPr>
            <w:r>
              <w:t>12.10.15</w:t>
            </w:r>
          </w:p>
        </w:tc>
        <w:tc>
          <w:tcPr>
            <w:tcW w:w="4395" w:type="dxa"/>
          </w:tcPr>
          <w:p w14:paraId="741EE066" w14:textId="77777777" w:rsidR="00967D33" w:rsidRDefault="00967D33">
            <w:pPr>
              <w:pStyle w:val="TableParagraph"/>
              <w:ind w:left="0"/>
              <w:rPr>
                <w:rFonts w:ascii="Times New Roman"/>
                <w:sz w:val="20"/>
              </w:rPr>
            </w:pPr>
          </w:p>
        </w:tc>
      </w:tr>
      <w:tr w:rsidR="00967D33" w14:paraId="58EDDC95" w14:textId="77777777">
        <w:trPr>
          <w:trHeight w:val="316"/>
        </w:trPr>
        <w:tc>
          <w:tcPr>
            <w:tcW w:w="1416" w:type="dxa"/>
          </w:tcPr>
          <w:p w14:paraId="3D5B6B89" w14:textId="77777777" w:rsidR="00967D33" w:rsidRDefault="00214344" w:rsidP="00214344">
            <w:pPr>
              <w:pStyle w:val="TableParagraph"/>
              <w:spacing w:before="44" w:line="252" w:lineRule="exact"/>
              <w:ind w:left="57"/>
            </w:pPr>
            <w:r>
              <w:t>2</w:t>
            </w:r>
          </w:p>
        </w:tc>
        <w:tc>
          <w:tcPr>
            <w:tcW w:w="2410" w:type="dxa"/>
          </w:tcPr>
          <w:p w14:paraId="773945C7" w14:textId="3E2884B5" w:rsidR="00967D33" w:rsidRDefault="00214344">
            <w:pPr>
              <w:pStyle w:val="TableParagraph"/>
              <w:spacing w:before="61" w:line="235" w:lineRule="exact"/>
              <w:ind w:left="69"/>
            </w:pPr>
            <w:r>
              <w:t>Date change</w:t>
            </w:r>
          </w:p>
        </w:tc>
        <w:tc>
          <w:tcPr>
            <w:tcW w:w="994" w:type="dxa"/>
          </w:tcPr>
          <w:p w14:paraId="6B36C96B" w14:textId="5E0EBEEB" w:rsidR="00967D33" w:rsidRDefault="00214344" w:rsidP="00214344">
            <w:pPr>
              <w:pStyle w:val="TableParagraph"/>
              <w:spacing w:before="44" w:line="252" w:lineRule="exact"/>
              <w:ind w:left="57"/>
            </w:pPr>
            <w:r>
              <w:t>15.03.18</w:t>
            </w:r>
          </w:p>
        </w:tc>
        <w:tc>
          <w:tcPr>
            <w:tcW w:w="4395" w:type="dxa"/>
          </w:tcPr>
          <w:p w14:paraId="2FD9FDE4" w14:textId="323C1D4B" w:rsidR="00967D33" w:rsidRDefault="00214344">
            <w:pPr>
              <w:pStyle w:val="TableParagraph"/>
              <w:spacing w:before="28"/>
              <w:ind w:left="72"/>
            </w:pPr>
            <w:r>
              <w:t>Policy review date changed to March 2022</w:t>
            </w:r>
          </w:p>
        </w:tc>
      </w:tr>
      <w:tr w:rsidR="00967D33" w14:paraId="6650F9B8" w14:textId="77777777">
        <w:trPr>
          <w:trHeight w:val="318"/>
        </w:trPr>
        <w:tc>
          <w:tcPr>
            <w:tcW w:w="1416" w:type="dxa"/>
          </w:tcPr>
          <w:p w14:paraId="38342848" w14:textId="0DE99392" w:rsidR="00967D33" w:rsidRPr="00214344" w:rsidRDefault="00214344">
            <w:pPr>
              <w:pStyle w:val="TableParagraph"/>
              <w:ind w:left="0"/>
            </w:pPr>
            <w:r w:rsidRPr="00214344">
              <w:t xml:space="preserve"> 3</w:t>
            </w:r>
          </w:p>
        </w:tc>
        <w:tc>
          <w:tcPr>
            <w:tcW w:w="2410" w:type="dxa"/>
          </w:tcPr>
          <w:p w14:paraId="43FA1810" w14:textId="08F535C0" w:rsidR="00967D33" w:rsidRPr="00214344" w:rsidRDefault="00214344">
            <w:pPr>
              <w:pStyle w:val="TableParagraph"/>
              <w:ind w:left="0"/>
            </w:pPr>
            <w:r>
              <w:t xml:space="preserve"> Date change</w:t>
            </w:r>
          </w:p>
        </w:tc>
        <w:tc>
          <w:tcPr>
            <w:tcW w:w="994" w:type="dxa"/>
          </w:tcPr>
          <w:p w14:paraId="6C7A09B5" w14:textId="76BF12DC" w:rsidR="00967D33" w:rsidRPr="00214344" w:rsidRDefault="00214344">
            <w:pPr>
              <w:pStyle w:val="TableParagraph"/>
              <w:ind w:left="0"/>
            </w:pPr>
            <w:r>
              <w:t xml:space="preserve"> 10.03.22</w:t>
            </w:r>
          </w:p>
        </w:tc>
        <w:tc>
          <w:tcPr>
            <w:tcW w:w="4395" w:type="dxa"/>
          </w:tcPr>
          <w:p w14:paraId="20D3542D" w14:textId="3C04BBB0" w:rsidR="00967D33" w:rsidRPr="00214344" w:rsidRDefault="00214344">
            <w:pPr>
              <w:pStyle w:val="TableParagraph"/>
              <w:ind w:left="0"/>
            </w:pPr>
            <w:r>
              <w:t xml:space="preserve"> Policy review date changed to March 2025.  </w:t>
            </w:r>
            <w:r w:rsidR="00910DB9">
              <w:t xml:space="preserve"> </w:t>
            </w:r>
            <w:bookmarkStart w:id="0" w:name="_GoBack"/>
            <w:bookmarkEnd w:id="0"/>
            <w:r>
              <w:t>No amendments to policy required.</w:t>
            </w:r>
          </w:p>
        </w:tc>
      </w:tr>
    </w:tbl>
    <w:p w14:paraId="4B88EA99" w14:textId="77777777" w:rsidR="007B606A" w:rsidRDefault="007B606A"/>
    <w:sectPr w:rsidR="007B606A">
      <w:pgSz w:w="11920" w:h="16850"/>
      <w:pgMar w:top="260" w:right="260" w:bottom="1180" w:left="32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D71F" w14:textId="77777777" w:rsidR="007B606A" w:rsidRDefault="00214344">
      <w:r>
        <w:separator/>
      </w:r>
    </w:p>
  </w:endnote>
  <w:endnote w:type="continuationSeparator" w:id="0">
    <w:p w14:paraId="7FAC3F5C" w14:textId="77777777" w:rsidR="007B606A" w:rsidRDefault="0021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AB4E" w14:textId="77777777" w:rsidR="00967D33" w:rsidRDefault="00910DB9">
    <w:pPr>
      <w:pStyle w:val="BodyText"/>
      <w:spacing w:line="14" w:lineRule="auto"/>
      <w:rPr>
        <w:sz w:val="20"/>
      </w:rPr>
    </w:pPr>
    <w:r>
      <w:pict w14:anchorId="7A326A6B">
        <v:shapetype id="_x0000_t202" coordsize="21600,21600" o:spt="202" path="m,l,21600r21600,l21600,xe">
          <v:stroke joinstyle="miter"/>
          <v:path gradientshapeok="t" o:connecttype="rect"/>
        </v:shapetype>
        <v:shape id="_x0000_s2050" type="#_x0000_t202" style="position:absolute;margin-left:292pt;margin-top:781.5pt;width:11.6pt;height:13.05pt;z-index:-251896832;mso-position-horizontal-relative:page;mso-position-vertical-relative:page" filled="f" stroked="f">
          <v:textbox inset="0,0,0,0">
            <w:txbxContent>
              <w:p w14:paraId="0B67A9C0" w14:textId="77777777" w:rsidR="00967D33" w:rsidRDefault="00214344">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r>
      <w:pict w14:anchorId="7B298021">
        <v:shape id="_x0000_s2049" type="#_x0000_t202" style="position:absolute;margin-left:512.8pt;margin-top:804.9pt;width:11.8pt;height:10.95pt;z-index:-251895808;mso-position-horizontal-relative:page;mso-position-vertical-relative:page" filled="f" stroked="f">
          <v:textbox inset="0,0,0,0">
            <w:txbxContent>
              <w:p w14:paraId="31F7E341" w14:textId="1960A26D" w:rsidR="00967D33" w:rsidRDefault="00214344">
                <w:pPr>
                  <w:spacing w:before="14"/>
                  <w:ind w:left="20"/>
                  <w:rPr>
                    <w:sz w:val="16"/>
                  </w:rPr>
                </w:pPr>
                <w:r>
                  <w:rPr>
                    <w:sz w:val="16"/>
                  </w:rPr>
                  <w:t>V3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3DE3C" w14:textId="77777777" w:rsidR="007B606A" w:rsidRDefault="00214344">
      <w:r>
        <w:separator/>
      </w:r>
    </w:p>
  </w:footnote>
  <w:footnote w:type="continuationSeparator" w:id="0">
    <w:p w14:paraId="564BC6ED" w14:textId="77777777" w:rsidR="007B606A" w:rsidRDefault="00214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67D33"/>
    <w:rsid w:val="00214344"/>
    <w:rsid w:val="007B606A"/>
    <w:rsid w:val="00910DB9"/>
    <w:rsid w:val="00967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BFB4E1"/>
  <w15:docId w15:val="{053501A3-8618-43C7-8E70-D1E3588E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120"/>
      <w:outlineLvl w:val="0"/>
    </w:pPr>
    <w:rPr>
      <w:b/>
      <w:bCs/>
      <w:sz w:val="24"/>
      <w:szCs w:val="24"/>
    </w:rPr>
  </w:style>
  <w:style w:type="paragraph" w:styleId="Heading2">
    <w:name w:val="heading 2"/>
    <w:basedOn w:val="Normal"/>
    <w:uiPriority w:val="9"/>
    <w:unhideWhenUsed/>
    <w:qFormat/>
    <w:pPr>
      <w:spacing w:before="36"/>
      <w:ind w:left="144"/>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21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344"/>
    <w:pPr>
      <w:tabs>
        <w:tab w:val="center" w:pos="4513"/>
        <w:tab w:val="right" w:pos="9026"/>
      </w:tabs>
    </w:pPr>
  </w:style>
  <w:style w:type="character" w:customStyle="1" w:styleId="HeaderChar">
    <w:name w:val="Header Char"/>
    <w:basedOn w:val="DefaultParagraphFont"/>
    <w:link w:val="Header"/>
    <w:uiPriority w:val="99"/>
    <w:rsid w:val="00214344"/>
    <w:rPr>
      <w:rFonts w:ascii="Arial" w:eastAsia="Arial" w:hAnsi="Arial" w:cs="Arial"/>
      <w:lang w:val="en-GB" w:eastAsia="en-GB" w:bidi="en-GB"/>
    </w:rPr>
  </w:style>
  <w:style w:type="paragraph" w:styleId="Footer">
    <w:name w:val="footer"/>
    <w:basedOn w:val="Normal"/>
    <w:link w:val="FooterChar"/>
    <w:uiPriority w:val="99"/>
    <w:unhideWhenUsed/>
    <w:rsid w:val="00214344"/>
    <w:pPr>
      <w:tabs>
        <w:tab w:val="center" w:pos="4513"/>
        <w:tab w:val="right" w:pos="9026"/>
      </w:tabs>
    </w:pPr>
  </w:style>
  <w:style w:type="character" w:customStyle="1" w:styleId="FooterChar">
    <w:name w:val="Footer Char"/>
    <w:basedOn w:val="DefaultParagraphFont"/>
    <w:link w:val="Footer"/>
    <w:uiPriority w:val="99"/>
    <w:rsid w:val="0021434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LCCG.IFR@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1237</Characters>
  <Application>Microsoft Office Word</Application>
  <DocSecurity>0</DocSecurity>
  <Lines>10</Lines>
  <Paragraphs>2</Paragraphs>
  <ScaleCrop>false</ScaleCrop>
  <Company>GLOUCESTERSHIRE HOSPITALS NHS FOUNDATION TRUST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CCG)</cp:lastModifiedBy>
  <cp:revision>3</cp:revision>
  <dcterms:created xsi:type="dcterms:W3CDTF">2022-03-16T15:55:00Z</dcterms:created>
  <dcterms:modified xsi:type="dcterms:W3CDTF">2022-03-23T11:35:00Z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2022-03-16T00:00:00Z</vt:filetime>
  </property>
</Properties>
</file>