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792FB" w14:textId="77777777" w:rsidR="00CE3D14" w:rsidRDefault="00101EE3">
      <w:pPr>
        <w:tabs>
          <w:tab w:val="left" w:pos="6806"/>
        </w:tabs>
        <w:ind w:left="95"/>
        <w:rPr>
          <w:rFonts w:ascii="Times New Roman"/>
          <w:sz w:val="20"/>
        </w:rPr>
      </w:pPr>
      <w:r>
        <w:rPr>
          <w:rFonts w:ascii="Times New Roman"/>
          <w:spacing w:val="-49"/>
          <w:sz w:val="20"/>
        </w:rPr>
        <w:t xml:space="preserve"> </w:t>
      </w:r>
      <w:r>
        <w:rPr>
          <w:rFonts w:ascii="Times New Roman"/>
          <w:noProof/>
          <w:spacing w:val="-49"/>
          <w:position w:val="34"/>
          <w:sz w:val="20"/>
          <w:lang w:val="en-GB" w:eastAsia="en-GB"/>
        </w:rPr>
        <mc:AlternateContent>
          <mc:Choice Requires="wps">
            <w:drawing>
              <wp:inline distT="0" distB="0" distL="0" distR="0" wp14:anchorId="6EF50B8C" wp14:editId="49C8F378">
                <wp:extent cx="2638425" cy="904875"/>
                <wp:effectExtent l="10160" t="6350" r="8890" b="12700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C55E3C" w14:textId="77777777" w:rsidR="00CE3D14" w:rsidRDefault="00101EE3">
                            <w:pPr>
                              <w:spacing w:before="67" w:line="273" w:lineRule="auto"/>
                              <w:ind w:left="144" w:right="2523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 xml:space="preserve">Policy Category: </w:t>
                            </w:r>
                            <w:r>
                              <w:rPr>
                                <w:rFonts w:ascii="Calibri"/>
                                <w:b/>
                                <w:color w:val="FF0000"/>
                              </w:rPr>
                              <w:t>INNF</w:t>
                            </w:r>
                          </w:p>
                          <w:p w14:paraId="7FBCDFBC" w14:textId="77777777" w:rsidR="00CE3D14" w:rsidRDefault="00101EE3">
                            <w:pPr>
                              <w:spacing w:before="3" w:line="276" w:lineRule="auto"/>
                              <w:ind w:left="144" w:right="992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 xml:space="preserve">Who usually applies for funding? </w:t>
                            </w:r>
                            <w:r>
                              <w:rPr>
                                <w:rFonts w:ascii="Calibri"/>
                                <w:b/>
                                <w:color w:val="FF0000"/>
                              </w:rPr>
                              <w:t>GP/Consultant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EF50B8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207.75pt;height:7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" filled="f">
                <v:textbox inset="0,0,0,0">
                  <w:txbxContent>
                    <w:p w14:paraId="05C55E3C" w14:textId="77777777" w:rsidR="00CE3D14" w:rsidRDefault="00101EE3">
                      <w:pPr>
                        <w:spacing w:before="67" w:line="273" w:lineRule="auto"/>
                        <w:ind w:left="144" w:right="2523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 xml:space="preserve">Policy Category: </w:t>
                      </w:r>
                      <w:r>
                        <w:rPr>
                          <w:rFonts w:ascii="Calibri"/>
                          <w:b/>
                          <w:color w:val="FF0000"/>
                        </w:rPr>
                        <w:t>INNF</w:t>
                      </w:r>
                    </w:p>
                    <w:p w14:paraId="7FBCDFBC" w14:textId="77777777" w:rsidR="00CE3D14" w:rsidRDefault="00101EE3">
                      <w:pPr>
                        <w:spacing w:before="3" w:line="276" w:lineRule="auto"/>
                        <w:ind w:left="144" w:right="992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 xml:space="preserve">Who usually applies for funding? </w:t>
                      </w:r>
                      <w:r>
                        <w:rPr>
                          <w:rFonts w:ascii="Calibri"/>
                          <w:b/>
                          <w:color w:val="FF0000"/>
                        </w:rPr>
                        <w:t>GP/Consultant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pacing w:val="-49"/>
          <w:position w:val="34"/>
          <w:sz w:val="20"/>
        </w:rPr>
        <w:tab/>
      </w:r>
      <w:r>
        <w:rPr>
          <w:rFonts w:ascii="Times New Roman"/>
          <w:noProof/>
          <w:spacing w:val="-49"/>
          <w:sz w:val="20"/>
          <w:lang w:val="en-GB" w:eastAsia="en-GB"/>
        </w:rPr>
        <w:drawing>
          <wp:inline distT="0" distB="0" distL="0" distR="0" wp14:anchorId="3D3114F1" wp14:editId="1EFD2CEE">
            <wp:extent cx="2962997" cy="102260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2997" cy="1022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E8764" w14:textId="77777777" w:rsidR="00CE3D14" w:rsidRDefault="00101EE3">
      <w:pPr>
        <w:pStyle w:val="Heading1"/>
        <w:spacing w:before="159"/>
        <w:ind w:left="1105"/>
      </w:pPr>
      <w:r>
        <w:t>National Institute for Health and Care Excellence (NICE) ‘DO Not Do’ Policy</w:t>
      </w:r>
    </w:p>
    <w:p w14:paraId="141CE9DD" w14:textId="77777777" w:rsidR="00CE3D14" w:rsidRDefault="00CE3D14">
      <w:pPr>
        <w:pStyle w:val="BodyText"/>
        <w:spacing w:before="1"/>
        <w:rPr>
          <w:b/>
          <w:sz w:val="28"/>
        </w:rPr>
      </w:pPr>
    </w:p>
    <w:tbl>
      <w:tblPr>
        <w:tblW w:w="0" w:type="auto"/>
        <w:tblInd w:w="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7151"/>
      </w:tblGrid>
      <w:tr w:rsidR="00CE3D14" w14:paraId="76044EF5" w14:textId="77777777">
        <w:trPr>
          <w:trHeight w:hRule="exact" w:val="1529"/>
        </w:trPr>
        <w:tc>
          <w:tcPr>
            <w:tcW w:w="2093" w:type="dxa"/>
            <w:shd w:val="clear" w:color="auto" w:fill="D9D9D9"/>
          </w:tcPr>
          <w:p w14:paraId="3444714B" w14:textId="77777777" w:rsidR="00CE3D14" w:rsidRDefault="00101EE3">
            <w:pPr>
              <w:pStyle w:val="TableParagraph"/>
              <w:spacing w:line="240" w:lineRule="auto"/>
              <w:ind w:right="160"/>
              <w:rPr>
                <w:b/>
                <w:sz w:val="24"/>
              </w:rPr>
            </w:pPr>
            <w:r>
              <w:rPr>
                <w:b/>
                <w:sz w:val="24"/>
              </w:rPr>
              <w:t>Commissioning decision</w:t>
            </w:r>
          </w:p>
        </w:tc>
        <w:tc>
          <w:tcPr>
            <w:tcW w:w="7151" w:type="dxa"/>
          </w:tcPr>
          <w:p w14:paraId="40BB11F4" w14:textId="77777777" w:rsidR="00CE3D14" w:rsidRDefault="00101EE3">
            <w:pPr>
              <w:pStyle w:val="TableParagraph"/>
              <w:spacing w:line="240" w:lineRule="auto"/>
              <w:ind w:right="356"/>
              <w:rPr>
                <w:b/>
              </w:rPr>
            </w:pPr>
            <w:r>
              <w:rPr>
                <w:b/>
              </w:rPr>
              <w:t>All guidance published by the National Institute for Health and Care Excellence (NICE) which is</w:t>
            </w:r>
            <w:r w:rsidR="00735533">
              <w:rPr>
                <w:b/>
              </w:rPr>
              <w:t xml:space="preserve"> a</w:t>
            </w:r>
            <w:r>
              <w:rPr>
                <w:b/>
              </w:rPr>
              <w:t xml:space="preserve"> ‘Do Not Do’ </w:t>
            </w:r>
            <w:r w:rsidR="00735533">
              <w:rPr>
                <w:b/>
              </w:rPr>
              <w:t xml:space="preserve">recommendation </w:t>
            </w:r>
            <w:r>
              <w:rPr>
                <w:b/>
              </w:rPr>
              <w:t>is not normally funded by NHS.</w:t>
            </w:r>
          </w:p>
          <w:p w14:paraId="63AC90F6" w14:textId="77777777" w:rsidR="00CE3D14" w:rsidRDefault="00CE3D14">
            <w:pPr>
              <w:pStyle w:val="TableParagraph"/>
              <w:spacing w:before="10" w:line="240" w:lineRule="auto"/>
              <w:ind w:left="0"/>
              <w:rPr>
                <w:b/>
              </w:rPr>
            </w:pPr>
          </w:p>
          <w:p w14:paraId="6E42069B" w14:textId="77777777" w:rsidR="00CE3D14" w:rsidRDefault="00101EE3">
            <w:pPr>
              <w:pStyle w:val="TableParagraph"/>
              <w:spacing w:line="240" w:lineRule="auto"/>
              <w:ind w:right="137"/>
              <w:rPr>
                <w:b/>
              </w:rPr>
            </w:pPr>
            <w:r>
              <w:rPr>
                <w:b/>
              </w:rPr>
              <w:t>Funding approval must be sought from the CCG via the Individual Funding Request process prior to treatment.</w:t>
            </w:r>
          </w:p>
        </w:tc>
      </w:tr>
    </w:tbl>
    <w:p w14:paraId="1E560784" w14:textId="77777777" w:rsidR="00CE3D14" w:rsidRDefault="00CE3D14">
      <w:pPr>
        <w:pStyle w:val="BodyText"/>
        <w:spacing w:before="11"/>
        <w:rPr>
          <w:b/>
          <w:sz w:val="26"/>
        </w:rPr>
      </w:pPr>
    </w:p>
    <w:p w14:paraId="656B05D4" w14:textId="77777777" w:rsidR="00CE3D14" w:rsidRDefault="00101EE3">
      <w:pPr>
        <w:pStyle w:val="Heading1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71B175F5" wp14:editId="40072D7E">
                <wp:simplePos x="0" y="0"/>
                <wp:positionH relativeFrom="page">
                  <wp:posOffset>845820</wp:posOffset>
                </wp:positionH>
                <wp:positionV relativeFrom="paragraph">
                  <wp:posOffset>209550</wp:posOffset>
                </wp:positionV>
                <wp:extent cx="5869940" cy="488315"/>
                <wp:effectExtent l="7620" t="10795" r="8890" b="5715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9940" cy="48831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56FE8E" w14:textId="77777777" w:rsidR="00CE3D14" w:rsidRPr="00101EE3" w:rsidRDefault="002765FB" w:rsidP="00101EE3">
                            <w:pPr>
                              <w:pStyle w:val="TableParagraph"/>
                              <w:spacing w:line="240" w:lineRule="auto"/>
                              <w:ind w:right="137"/>
                              <w:rPr>
                                <w:b/>
                              </w:rPr>
                            </w:pPr>
                            <w:r w:rsidRPr="002765FB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GB"/>
                              </w:rPr>
                              <w:t xml:space="preserve"> </w:t>
                            </w:r>
                            <w:r w:rsidRPr="00101EE3">
                              <w:rPr>
                                <w:b/>
                              </w:rPr>
                              <w:t xml:space="preserve">All guidance published by the National Institute for Health and Care Excellence (NICE) which is a 'Do Not Do' </w:t>
                            </w:r>
                            <w:r w:rsidR="00101EE3" w:rsidRPr="00101EE3">
                              <w:rPr>
                                <w:b/>
                              </w:rPr>
                              <w:t>recommendation is</w:t>
                            </w:r>
                            <w:r w:rsidRPr="00101EE3">
                              <w:rPr>
                                <w:b/>
                              </w:rPr>
                              <w:t xml:space="preserve"> not normally funded by NHS.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175F5" id="Text Box 4" o:spid="_x0000_s1027" type="#_x0000_t202" style="position:absolute;left:0;text-align:left;margin-left:66.6pt;margin-top:16.5pt;width:462.2pt;height:38.45pt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" filled="f" strokeweight=".16936mm">
                <v:textbox inset="0,0,0,0">
                  <w:txbxContent>
                    <w:p w14:paraId="3456FE8E" w14:textId="77777777" w:rsidR="00CE3D14" w:rsidRPr="00101EE3" w:rsidRDefault="002765FB" w:rsidP="00101EE3">
                      <w:pPr>
                        <w:pStyle w:val="TableParagraph"/>
                        <w:spacing w:line="240" w:lineRule="auto"/>
                        <w:ind w:right="137"/>
                        <w:rPr>
                          <w:b/>
                        </w:rPr>
                      </w:pPr>
                      <w:r w:rsidRPr="002765FB">
                        <w:rPr>
                          <w:rFonts w:ascii="Calibri" w:eastAsia="Times New Roman" w:hAnsi="Calibri" w:cs="Times New Roman"/>
                          <w:color w:val="000000"/>
                          <w:lang w:eastAsia="en-GB"/>
                        </w:rPr>
                        <w:t xml:space="preserve"> </w:t>
                      </w:r>
                      <w:r w:rsidRPr="00101EE3">
                        <w:rPr>
                          <w:b/>
                        </w:rPr>
                        <w:t xml:space="preserve">All guidance published by the National Institute for Health and Care Excellence (NICE) which is a 'Do Not Do' </w:t>
                      </w:r>
                      <w:r w:rsidR="00101EE3" w:rsidRPr="00101EE3">
                        <w:rPr>
                          <w:b/>
                        </w:rPr>
                        <w:t>recommendation is</w:t>
                      </w:r>
                      <w:r w:rsidRPr="00101EE3">
                        <w:rPr>
                          <w:b/>
                        </w:rPr>
                        <w:t xml:space="preserve"> not normally funded by NHS.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Policy Statement:</w:t>
      </w:r>
    </w:p>
    <w:p w14:paraId="55CB7CAB" w14:textId="77777777" w:rsidR="00CE3D14" w:rsidRDefault="00CE3D14">
      <w:pPr>
        <w:pStyle w:val="BodyText"/>
        <w:spacing w:before="11"/>
        <w:rPr>
          <w:b/>
        </w:rPr>
      </w:pPr>
    </w:p>
    <w:p w14:paraId="7A7A801D" w14:textId="77777777" w:rsidR="00CE3D14" w:rsidRDefault="00101EE3">
      <w:pPr>
        <w:pStyle w:val="Heading1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6E690D6B" wp14:editId="4F34A91F">
                <wp:simplePos x="0" y="0"/>
                <wp:positionH relativeFrom="page">
                  <wp:posOffset>845820</wp:posOffset>
                </wp:positionH>
                <wp:positionV relativeFrom="paragraph">
                  <wp:posOffset>208280</wp:posOffset>
                </wp:positionV>
                <wp:extent cx="5869940" cy="487680"/>
                <wp:effectExtent l="7620" t="5715" r="8890" b="1143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9940" cy="48768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22B36F" w14:textId="77777777" w:rsidR="00CE3D14" w:rsidRDefault="00101EE3">
                            <w:pPr>
                              <w:pStyle w:val="BodyText"/>
                              <w:ind w:left="103" w:right="340"/>
                            </w:pPr>
                            <w:r>
                              <w:t>The CCG only routinely funds treatments of proven clinical effectiveness. Therefore any treatments or procedures listed within the NICE ‘Do not Do’ should not be under-taken and will not be funded by the NHS.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90D6B" id="Text Box 3" o:spid="_x0000_s1028" type="#_x0000_t202" style="position:absolute;left:0;text-align:left;margin-left:66.6pt;margin-top:16.4pt;width:462.2pt;height:38.4pt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" filled="f" strokeweight=".16936mm">
                <v:textbox inset="0,0,0,0">
                  <w:txbxContent>
                    <w:p w14:paraId="5B22B36F" w14:textId="77777777" w:rsidR="00CE3D14" w:rsidRDefault="00101EE3">
                      <w:pPr>
                        <w:pStyle w:val="BodyText"/>
                        <w:ind w:left="103" w:right="340"/>
                      </w:pPr>
                      <w:r>
                        <w:t>The CCG only routinely funds treatments of proven clinical effectiveness. Therefore any treatments or procedures listed within the NICE ‘Do not Do’ should not be under-taken and will not be funded by the NHS.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Rationale:</w:t>
      </w:r>
    </w:p>
    <w:p w14:paraId="4891CA20" w14:textId="77777777" w:rsidR="00CE3D14" w:rsidRDefault="00CE3D14">
      <w:pPr>
        <w:pStyle w:val="BodyText"/>
        <w:spacing w:before="9"/>
        <w:rPr>
          <w:b/>
        </w:rPr>
      </w:pPr>
    </w:p>
    <w:p w14:paraId="1C04158E" w14:textId="77777777" w:rsidR="00CE3D14" w:rsidRDefault="00101EE3">
      <w:pPr>
        <w:pStyle w:val="Heading1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3248EFCA" wp14:editId="3323F6F2">
                <wp:simplePos x="0" y="0"/>
                <wp:positionH relativeFrom="page">
                  <wp:posOffset>845820</wp:posOffset>
                </wp:positionH>
                <wp:positionV relativeFrom="paragraph">
                  <wp:posOffset>208915</wp:posOffset>
                </wp:positionV>
                <wp:extent cx="5869940" cy="601980"/>
                <wp:effectExtent l="7620" t="10795" r="8890" b="635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9940" cy="60198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5496E8" w14:textId="77777777" w:rsidR="00CE3D14" w:rsidRDefault="00101EE3">
                            <w:pPr>
                              <w:pStyle w:val="BodyText"/>
                              <w:spacing w:before="57" w:line="292" w:lineRule="auto"/>
                              <w:ind w:left="103" w:right="1919"/>
                            </w:pPr>
                            <w:r>
                              <w:t xml:space="preserve">NICE ‘Do not Do’ </w:t>
                            </w:r>
                            <w:hyperlink r:id="rId5">
                              <w:r>
                                <w:rPr>
                                  <w:color w:val="0000FF"/>
                                  <w:u w:val="single" w:color="0000FF"/>
                                </w:rPr>
                                <w:t>http://www.nice.org.uk/savingsandproductivity/collection</w:t>
                              </w:r>
                            </w:hyperlink>
                            <w:r>
                              <w:rPr>
                                <w:color w:val="0000FF"/>
                                <w:u w:val="single" w:color="0000FF"/>
                              </w:rPr>
                              <w:t xml:space="preserve"> </w:t>
                            </w:r>
                            <w:r>
                              <w:t>(filter ‘Do not Do’)</w:t>
                            </w:r>
                          </w:p>
                          <w:p w14:paraId="5E2E075D" w14:textId="77777777" w:rsidR="00CE3D14" w:rsidRDefault="00101EE3">
                            <w:pPr>
                              <w:pStyle w:val="BodyText"/>
                              <w:spacing w:before="9"/>
                              <w:ind w:left="103"/>
                            </w:pPr>
                            <w:r>
                              <w:t>Intended to ensure treatments with poor evidence base are not provided by the NHS.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8EFCA" id="Text Box 2" o:spid="_x0000_s1029" type="#_x0000_t202" style="position:absolute;left:0;text-align:left;margin-left:66.6pt;margin-top:16.45pt;width:462.2pt;height:47.4pt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" filled="f" strokeweight=".16936mm">
                <v:textbox inset="0,0,0,0">
                  <w:txbxContent>
                    <w:p w14:paraId="0E5496E8" w14:textId="77777777" w:rsidR="00CE3D14" w:rsidRDefault="00101EE3">
                      <w:pPr>
                        <w:pStyle w:val="BodyText"/>
                        <w:spacing w:before="57" w:line="292" w:lineRule="auto"/>
                        <w:ind w:left="103" w:right="1919"/>
                      </w:pPr>
                      <w:r>
                        <w:t xml:space="preserve">NICE ‘Do not Do’ </w:t>
                      </w:r>
                      <w:hyperlink r:id="rId6">
                        <w:r>
                          <w:rPr>
                            <w:color w:val="0000FF"/>
                            <w:u w:val="single" w:color="0000FF"/>
                          </w:rPr>
                          <w:t>http://www.nice.org.uk/savingsandproductivity/collection</w:t>
                        </w:r>
                      </w:hyperlink>
                      <w:r>
                        <w:rPr>
                          <w:color w:val="0000FF"/>
                          <w:u w:val="single" w:color="0000FF"/>
                        </w:rPr>
                        <w:t xml:space="preserve"> </w:t>
                      </w:r>
                      <w:r>
                        <w:t>(filter ‘Do not Do’)</w:t>
                      </w:r>
                    </w:p>
                    <w:p w14:paraId="5E2E075D" w14:textId="77777777" w:rsidR="00CE3D14" w:rsidRDefault="00101EE3">
                      <w:pPr>
                        <w:pStyle w:val="BodyText"/>
                        <w:spacing w:before="9"/>
                        <w:ind w:left="103"/>
                      </w:pPr>
                      <w:r>
                        <w:t>Intended to ensure treatments with poor evidence base are not provided by the NHS.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Evidence base:</w:t>
      </w:r>
    </w:p>
    <w:p w14:paraId="63BB9996" w14:textId="77777777" w:rsidR="00CE3D14" w:rsidRDefault="00CE3D14">
      <w:pPr>
        <w:pStyle w:val="BodyText"/>
        <w:spacing w:before="11"/>
        <w:rPr>
          <w:b/>
        </w:rPr>
      </w:pPr>
    </w:p>
    <w:p w14:paraId="2F0007C1" w14:textId="77777777" w:rsidR="00CE3D14" w:rsidRDefault="00101EE3">
      <w:pPr>
        <w:ind w:left="1100"/>
        <w:rPr>
          <w:sz w:val="24"/>
        </w:rPr>
      </w:pPr>
      <w:r>
        <w:rPr>
          <w:sz w:val="24"/>
        </w:rPr>
        <w:t>Application form – INNF Application Form</w:t>
      </w:r>
    </w:p>
    <w:p w14:paraId="2F363F0C" w14:textId="77777777" w:rsidR="00CE3D14" w:rsidRDefault="00101EE3">
      <w:pPr>
        <w:spacing w:before="40"/>
        <w:ind w:left="1100"/>
        <w:rPr>
          <w:sz w:val="24"/>
        </w:rPr>
      </w:pPr>
      <w:r>
        <w:rPr>
          <w:sz w:val="24"/>
        </w:rPr>
        <w:t xml:space="preserve">For further information please contact </w:t>
      </w:r>
      <w:hyperlink r:id="rId7">
        <w:r>
          <w:rPr>
            <w:color w:val="0000FF"/>
            <w:sz w:val="24"/>
            <w:u w:val="single" w:color="0000FF"/>
          </w:rPr>
          <w:t>GLCCG.IFR@nhs.net</w:t>
        </w:r>
      </w:hyperlink>
    </w:p>
    <w:p w14:paraId="4F1D7139" w14:textId="77777777" w:rsidR="00CE3D14" w:rsidRDefault="00CE3D14">
      <w:pPr>
        <w:pStyle w:val="BodyText"/>
        <w:rPr>
          <w:sz w:val="20"/>
        </w:rPr>
      </w:pPr>
    </w:p>
    <w:p w14:paraId="378D6496" w14:textId="77777777" w:rsidR="00CE3D14" w:rsidRDefault="00CE3D14">
      <w:pPr>
        <w:pStyle w:val="BodyText"/>
        <w:spacing w:before="7"/>
        <w:rPr>
          <w:sz w:val="11"/>
        </w:rPr>
      </w:pPr>
    </w:p>
    <w:tbl>
      <w:tblPr>
        <w:tblW w:w="0" w:type="auto"/>
        <w:tblInd w:w="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6726"/>
      </w:tblGrid>
      <w:tr w:rsidR="00CE3D14" w14:paraId="5877A041" w14:textId="77777777">
        <w:trPr>
          <w:trHeight w:hRule="exact" w:val="264"/>
        </w:trPr>
        <w:tc>
          <w:tcPr>
            <w:tcW w:w="2518" w:type="dxa"/>
          </w:tcPr>
          <w:p w14:paraId="46588FE8" w14:textId="77777777" w:rsidR="00CE3D14" w:rsidRDefault="00101EE3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Date of publication</w:t>
            </w:r>
          </w:p>
        </w:tc>
        <w:tc>
          <w:tcPr>
            <w:tcW w:w="6726" w:type="dxa"/>
          </w:tcPr>
          <w:p w14:paraId="4E9580B6" w14:textId="77777777" w:rsidR="00CE3D14" w:rsidRDefault="00101EE3">
            <w:pPr>
              <w:pStyle w:val="TableParagraph"/>
              <w:spacing w:line="246" w:lineRule="exact"/>
            </w:pPr>
            <w:r>
              <w:t>4</w:t>
            </w:r>
            <w:r>
              <w:rPr>
                <w:position w:val="10"/>
                <w:sz w:val="14"/>
              </w:rPr>
              <w:t xml:space="preserve">  </w:t>
            </w:r>
            <w:r>
              <w:t>April 2016</w:t>
            </w:r>
          </w:p>
        </w:tc>
      </w:tr>
      <w:tr w:rsidR="00CE3D14" w14:paraId="659B0432" w14:textId="77777777">
        <w:trPr>
          <w:trHeight w:hRule="exact" w:val="262"/>
        </w:trPr>
        <w:tc>
          <w:tcPr>
            <w:tcW w:w="2518" w:type="dxa"/>
          </w:tcPr>
          <w:p w14:paraId="004BCB2A" w14:textId="77777777" w:rsidR="00CE3D14" w:rsidRDefault="00101EE3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Policy review date</w:t>
            </w:r>
          </w:p>
        </w:tc>
        <w:tc>
          <w:tcPr>
            <w:tcW w:w="6726" w:type="dxa"/>
          </w:tcPr>
          <w:p w14:paraId="76BDACCC" w14:textId="3C06F5FF" w:rsidR="00CE3D14" w:rsidRDefault="002765FB">
            <w:pPr>
              <w:pStyle w:val="TableParagraph"/>
              <w:spacing w:line="246" w:lineRule="exact"/>
            </w:pPr>
            <w:r>
              <w:t>June 202</w:t>
            </w:r>
            <w:r w:rsidR="00312313">
              <w:t>5</w:t>
            </w:r>
          </w:p>
        </w:tc>
      </w:tr>
    </w:tbl>
    <w:p w14:paraId="06FCE495" w14:textId="77777777" w:rsidR="00CE3D14" w:rsidRDefault="00CE3D14">
      <w:pPr>
        <w:pStyle w:val="BodyText"/>
        <w:spacing w:before="4"/>
        <w:rPr>
          <w:sz w:val="27"/>
        </w:rPr>
      </w:pPr>
    </w:p>
    <w:p w14:paraId="2ED9E99E" w14:textId="77777777" w:rsidR="00CE3D14" w:rsidRDefault="00101EE3">
      <w:pPr>
        <w:spacing w:after="45"/>
        <w:ind w:left="1081" w:firstLine="19"/>
        <w:rPr>
          <w:b/>
          <w:sz w:val="24"/>
        </w:rPr>
      </w:pPr>
      <w:r>
        <w:rPr>
          <w:b/>
          <w:sz w:val="24"/>
        </w:rPr>
        <w:t>Policy sign off</w:t>
      </w:r>
    </w:p>
    <w:tbl>
      <w:tblPr>
        <w:tblW w:w="0" w:type="auto"/>
        <w:tblInd w:w="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2"/>
        <w:gridCol w:w="3322"/>
      </w:tblGrid>
      <w:tr w:rsidR="00CE3D14" w14:paraId="217F338C" w14:textId="77777777">
        <w:trPr>
          <w:trHeight w:hRule="exact" w:val="264"/>
        </w:trPr>
        <w:tc>
          <w:tcPr>
            <w:tcW w:w="5922" w:type="dxa"/>
          </w:tcPr>
          <w:p w14:paraId="78E422CB" w14:textId="77777777" w:rsidR="00CE3D14" w:rsidRDefault="00101EE3">
            <w:pPr>
              <w:pStyle w:val="TableParagraph"/>
              <w:rPr>
                <w:b/>
              </w:rPr>
            </w:pPr>
            <w:r>
              <w:rPr>
                <w:b/>
              </w:rPr>
              <w:t>Reviewing Body</w:t>
            </w:r>
          </w:p>
        </w:tc>
        <w:tc>
          <w:tcPr>
            <w:tcW w:w="3322" w:type="dxa"/>
          </w:tcPr>
          <w:p w14:paraId="6317C220" w14:textId="77777777" w:rsidR="00CE3D14" w:rsidRDefault="00101EE3">
            <w:pPr>
              <w:pStyle w:val="TableParagraph"/>
              <w:rPr>
                <w:b/>
              </w:rPr>
            </w:pPr>
            <w:r>
              <w:rPr>
                <w:b/>
              </w:rPr>
              <w:t>Date of review</w:t>
            </w:r>
          </w:p>
        </w:tc>
      </w:tr>
      <w:tr w:rsidR="00CE3D14" w14:paraId="4536C744" w14:textId="77777777">
        <w:trPr>
          <w:trHeight w:hRule="exact" w:val="264"/>
        </w:trPr>
        <w:tc>
          <w:tcPr>
            <w:tcW w:w="5922" w:type="dxa"/>
          </w:tcPr>
          <w:p w14:paraId="27E9473F" w14:textId="77777777" w:rsidR="00CE3D14" w:rsidRDefault="00101EE3">
            <w:pPr>
              <w:pStyle w:val="TableParagraph"/>
            </w:pPr>
            <w:r>
              <w:t>Effective Clinical Commissioning Policy Group</w:t>
            </w:r>
          </w:p>
        </w:tc>
        <w:tc>
          <w:tcPr>
            <w:tcW w:w="3322" w:type="dxa"/>
          </w:tcPr>
          <w:p w14:paraId="3B5EF701" w14:textId="77777777" w:rsidR="00CE3D14" w:rsidRDefault="00101EE3" w:rsidP="002765FB">
            <w:pPr>
              <w:pStyle w:val="TableParagraph"/>
            </w:pPr>
            <w:r>
              <w:t>7</w:t>
            </w:r>
            <w:r>
              <w:rPr>
                <w:position w:val="10"/>
                <w:sz w:val="14"/>
              </w:rPr>
              <w:t xml:space="preserve"> </w:t>
            </w:r>
            <w:r>
              <w:t>February</w:t>
            </w:r>
            <w:r>
              <w:rPr>
                <w:spacing w:val="53"/>
              </w:rPr>
              <w:t xml:space="preserve"> </w:t>
            </w:r>
            <w:r>
              <w:t>2016</w:t>
            </w:r>
          </w:p>
        </w:tc>
      </w:tr>
      <w:tr w:rsidR="00CE3D14" w14:paraId="4159F443" w14:textId="77777777">
        <w:trPr>
          <w:trHeight w:hRule="exact" w:val="264"/>
        </w:trPr>
        <w:tc>
          <w:tcPr>
            <w:tcW w:w="5922" w:type="dxa"/>
          </w:tcPr>
          <w:p w14:paraId="618756BD" w14:textId="77777777" w:rsidR="00CE3D14" w:rsidRDefault="00101EE3">
            <w:pPr>
              <w:pStyle w:val="TableParagraph"/>
              <w:spacing w:line="246" w:lineRule="exact"/>
            </w:pPr>
            <w:r>
              <w:t>Integrated Governance and Quality Committee</w:t>
            </w:r>
          </w:p>
        </w:tc>
        <w:tc>
          <w:tcPr>
            <w:tcW w:w="3322" w:type="dxa"/>
          </w:tcPr>
          <w:p w14:paraId="2017851A" w14:textId="77777777" w:rsidR="00CE3D14" w:rsidRDefault="00101EE3" w:rsidP="002765FB">
            <w:pPr>
              <w:pStyle w:val="TableParagraph"/>
              <w:spacing w:line="246" w:lineRule="exact"/>
            </w:pPr>
            <w:r>
              <w:t>3</w:t>
            </w:r>
            <w:r>
              <w:rPr>
                <w:position w:val="10"/>
                <w:sz w:val="14"/>
              </w:rPr>
              <w:t xml:space="preserve">  </w:t>
            </w:r>
            <w:r>
              <w:t>March 2016</w:t>
            </w:r>
          </w:p>
        </w:tc>
      </w:tr>
    </w:tbl>
    <w:p w14:paraId="32FC828F" w14:textId="77777777" w:rsidR="00CE3D14" w:rsidRDefault="00CE3D14">
      <w:pPr>
        <w:pStyle w:val="BodyText"/>
        <w:spacing w:before="7"/>
        <w:rPr>
          <w:b/>
          <w:sz w:val="25"/>
        </w:rPr>
      </w:pPr>
    </w:p>
    <w:p w14:paraId="1C298816" w14:textId="77777777" w:rsidR="00CE3D14" w:rsidRDefault="00101EE3">
      <w:pPr>
        <w:pStyle w:val="Heading2"/>
        <w:spacing w:after="4"/>
        <w:ind w:left="1081"/>
        <w:rPr>
          <w:rFonts w:ascii="Arial"/>
        </w:rPr>
      </w:pPr>
      <w:r>
        <w:rPr>
          <w:rFonts w:ascii="Arial"/>
        </w:rPr>
        <w:t>Version Control</w:t>
      </w:r>
    </w:p>
    <w:tbl>
      <w:tblPr>
        <w:tblW w:w="0" w:type="auto"/>
        <w:tblInd w:w="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6"/>
        <w:gridCol w:w="2441"/>
        <w:gridCol w:w="850"/>
        <w:gridCol w:w="4508"/>
      </w:tblGrid>
      <w:tr w:rsidR="00CE3D14" w14:paraId="301A9860" w14:textId="77777777" w:rsidTr="00312313">
        <w:trPr>
          <w:trHeight w:hRule="exact" w:val="302"/>
        </w:trPr>
        <w:tc>
          <w:tcPr>
            <w:tcW w:w="1416" w:type="dxa"/>
          </w:tcPr>
          <w:p w14:paraId="00566932" w14:textId="77777777" w:rsidR="00CE3D14" w:rsidRDefault="00101EE3">
            <w:pPr>
              <w:pStyle w:val="TableParagraph"/>
              <w:rPr>
                <w:b/>
              </w:rPr>
            </w:pPr>
            <w:r>
              <w:rPr>
                <w:b/>
              </w:rPr>
              <w:t>Version No</w:t>
            </w:r>
          </w:p>
        </w:tc>
        <w:tc>
          <w:tcPr>
            <w:tcW w:w="2441" w:type="dxa"/>
          </w:tcPr>
          <w:p w14:paraId="0E0E554B" w14:textId="77777777" w:rsidR="00CE3D14" w:rsidRDefault="00101EE3">
            <w:pPr>
              <w:pStyle w:val="TableParagraph"/>
              <w:rPr>
                <w:b/>
              </w:rPr>
            </w:pPr>
            <w:r>
              <w:rPr>
                <w:b/>
              </w:rPr>
              <w:t>Type of Change</w:t>
            </w:r>
          </w:p>
        </w:tc>
        <w:tc>
          <w:tcPr>
            <w:tcW w:w="850" w:type="dxa"/>
          </w:tcPr>
          <w:p w14:paraId="56EAE594" w14:textId="77777777" w:rsidR="00CE3D14" w:rsidRDefault="00101EE3">
            <w:pPr>
              <w:pStyle w:val="TableParagraph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508" w:type="dxa"/>
          </w:tcPr>
          <w:p w14:paraId="0C7643FA" w14:textId="77777777" w:rsidR="00CE3D14" w:rsidRDefault="00101EE3">
            <w:pPr>
              <w:pStyle w:val="TableParagraph"/>
              <w:rPr>
                <w:b/>
              </w:rPr>
            </w:pPr>
            <w:r>
              <w:rPr>
                <w:b/>
              </w:rPr>
              <w:t>Description of Change</w:t>
            </w:r>
          </w:p>
        </w:tc>
      </w:tr>
      <w:tr w:rsidR="00101EE3" w14:paraId="2589F78D" w14:textId="77777777" w:rsidTr="00312313">
        <w:trPr>
          <w:trHeight w:hRule="exact" w:val="287"/>
        </w:trPr>
        <w:tc>
          <w:tcPr>
            <w:tcW w:w="1416" w:type="dxa"/>
          </w:tcPr>
          <w:p w14:paraId="07546A74" w14:textId="77777777" w:rsidR="00101EE3" w:rsidRDefault="00101EE3">
            <w:r>
              <w:t xml:space="preserve"> 1</w:t>
            </w:r>
          </w:p>
        </w:tc>
        <w:tc>
          <w:tcPr>
            <w:tcW w:w="2441" w:type="dxa"/>
          </w:tcPr>
          <w:p w14:paraId="4C8493DF" w14:textId="77777777" w:rsidR="00101EE3" w:rsidRDefault="00101EE3"/>
        </w:tc>
        <w:tc>
          <w:tcPr>
            <w:tcW w:w="850" w:type="dxa"/>
          </w:tcPr>
          <w:p w14:paraId="1529A08A" w14:textId="77777777" w:rsidR="00101EE3" w:rsidRDefault="00101EE3">
            <w:r>
              <w:t xml:space="preserve"> 4.4.16</w:t>
            </w:r>
          </w:p>
        </w:tc>
        <w:tc>
          <w:tcPr>
            <w:tcW w:w="4508" w:type="dxa"/>
          </w:tcPr>
          <w:p w14:paraId="79008F64" w14:textId="77777777" w:rsidR="00101EE3" w:rsidRDefault="00101EE3"/>
        </w:tc>
      </w:tr>
      <w:tr w:rsidR="00CE3D14" w14:paraId="10663BA4" w14:textId="77777777" w:rsidTr="00312313">
        <w:trPr>
          <w:trHeight w:hRule="exact" w:val="703"/>
        </w:trPr>
        <w:tc>
          <w:tcPr>
            <w:tcW w:w="1416" w:type="dxa"/>
          </w:tcPr>
          <w:p w14:paraId="38EA9864" w14:textId="77777777" w:rsidR="00CE3D14" w:rsidRDefault="002765FB">
            <w:r>
              <w:t xml:space="preserve"> 2</w:t>
            </w:r>
          </w:p>
        </w:tc>
        <w:tc>
          <w:tcPr>
            <w:tcW w:w="2441" w:type="dxa"/>
          </w:tcPr>
          <w:p w14:paraId="1AE508B3" w14:textId="77777777" w:rsidR="00CE3D14" w:rsidRDefault="002765FB" w:rsidP="00312313">
            <w:pPr>
              <w:ind w:left="57" w:right="113"/>
            </w:pPr>
            <w:r>
              <w:t>Review date   change; minor wording change</w:t>
            </w:r>
          </w:p>
        </w:tc>
        <w:tc>
          <w:tcPr>
            <w:tcW w:w="850" w:type="dxa"/>
          </w:tcPr>
          <w:p w14:paraId="5F8B82BB" w14:textId="77777777" w:rsidR="00CE3D14" w:rsidRDefault="002765FB">
            <w:r>
              <w:t xml:space="preserve"> 21.6.18</w:t>
            </w:r>
          </w:p>
        </w:tc>
        <w:tc>
          <w:tcPr>
            <w:tcW w:w="4508" w:type="dxa"/>
          </w:tcPr>
          <w:p w14:paraId="0623399F" w14:textId="77777777" w:rsidR="00CE3D14" w:rsidRDefault="002765FB" w:rsidP="00312313">
            <w:pPr>
              <w:ind w:left="57"/>
            </w:pPr>
            <w:r>
              <w:t xml:space="preserve">Review date changed to June 2022; </w:t>
            </w:r>
            <w:r w:rsidR="00101EE3">
              <w:t>minor wording</w:t>
            </w:r>
            <w:r>
              <w:t xml:space="preserve"> change</w:t>
            </w:r>
            <w:r w:rsidR="00101EE3">
              <w:t xml:space="preserve"> to Policy Statement.</w:t>
            </w:r>
          </w:p>
        </w:tc>
      </w:tr>
      <w:tr w:rsidR="00312313" w14:paraId="7B959023" w14:textId="77777777" w:rsidTr="00312313">
        <w:trPr>
          <w:trHeight w:hRule="exact" w:val="429"/>
        </w:trPr>
        <w:tc>
          <w:tcPr>
            <w:tcW w:w="1416" w:type="dxa"/>
          </w:tcPr>
          <w:p w14:paraId="057001F9" w14:textId="07361C67" w:rsidR="00312313" w:rsidRDefault="00312313">
            <w:r>
              <w:t xml:space="preserve"> 3</w:t>
            </w:r>
          </w:p>
        </w:tc>
        <w:tc>
          <w:tcPr>
            <w:tcW w:w="2441" w:type="dxa"/>
          </w:tcPr>
          <w:p w14:paraId="35085804" w14:textId="1086F3C0" w:rsidR="00312313" w:rsidRDefault="00312313" w:rsidP="00312313">
            <w:pPr>
              <w:ind w:left="57" w:right="113"/>
            </w:pPr>
            <w:r>
              <w:t>Review date</w:t>
            </w:r>
          </w:p>
        </w:tc>
        <w:tc>
          <w:tcPr>
            <w:tcW w:w="850" w:type="dxa"/>
          </w:tcPr>
          <w:p w14:paraId="1C2571E3" w14:textId="59773651" w:rsidR="00312313" w:rsidRDefault="00312313" w:rsidP="00312313">
            <w:pPr>
              <w:ind w:left="57"/>
            </w:pPr>
            <w:r>
              <w:t>9.6.22</w:t>
            </w:r>
          </w:p>
        </w:tc>
        <w:tc>
          <w:tcPr>
            <w:tcW w:w="4508" w:type="dxa"/>
          </w:tcPr>
          <w:p w14:paraId="638EE289" w14:textId="57125AE2" w:rsidR="00312313" w:rsidRDefault="00312313" w:rsidP="00312313">
            <w:pPr>
              <w:ind w:left="57"/>
            </w:pPr>
            <w:r>
              <w:t>Review date changed to June 2025</w:t>
            </w:r>
          </w:p>
        </w:tc>
      </w:tr>
    </w:tbl>
    <w:p w14:paraId="3D0AC2DE" w14:textId="77777777" w:rsidR="002765FB" w:rsidRDefault="002765FB"/>
    <w:p w14:paraId="60E292A4" w14:textId="77777777" w:rsidR="002765FB" w:rsidRPr="002765FB" w:rsidRDefault="002765FB" w:rsidP="002765FB"/>
    <w:p w14:paraId="6F208F2B" w14:textId="77777777" w:rsidR="002765FB" w:rsidRPr="002765FB" w:rsidRDefault="002765FB" w:rsidP="002765FB"/>
    <w:p w14:paraId="4F214C8C" w14:textId="77777777" w:rsidR="002765FB" w:rsidRPr="002765FB" w:rsidRDefault="002765FB" w:rsidP="002765FB"/>
    <w:p w14:paraId="4B826E4D" w14:textId="77777777" w:rsidR="002765FB" w:rsidRPr="002765FB" w:rsidRDefault="002765FB" w:rsidP="002765FB"/>
    <w:p w14:paraId="65CE58D6" w14:textId="77777777" w:rsidR="002765FB" w:rsidRPr="002765FB" w:rsidRDefault="002765FB" w:rsidP="002765FB"/>
    <w:p w14:paraId="3832F3EB" w14:textId="77777777" w:rsidR="002765FB" w:rsidRDefault="002765FB" w:rsidP="002765FB"/>
    <w:p w14:paraId="15C4409C" w14:textId="2E6BCB3C" w:rsidR="002765FB" w:rsidRDefault="002765FB" w:rsidP="002765FB">
      <w:pPr>
        <w:tabs>
          <w:tab w:val="left" w:pos="7688"/>
        </w:tabs>
      </w:pPr>
      <w:r>
        <w:tab/>
        <w:t xml:space="preserve">                             V</w:t>
      </w:r>
      <w:r w:rsidR="00312313">
        <w:t>3</w:t>
      </w:r>
      <w:bookmarkStart w:id="0" w:name="_GoBack"/>
      <w:bookmarkEnd w:id="0"/>
    </w:p>
    <w:p w14:paraId="24EF6A07" w14:textId="77777777" w:rsidR="002765FB" w:rsidRDefault="002765FB" w:rsidP="002765FB"/>
    <w:p w14:paraId="0FC361B7" w14:textId="77777777" w:rsidR="00CE3D14" w:rsidRPr="002765FB" w:rsidRDefault="00CE3D14" w:rsidP="002765FB">
      <w:pPr>
        <w:sectPr w:rsidR="00CE3D14" w:rsidRPr="002765FB">
          <w:type w:val="continuous"/>
          <w:pgSz w:w="11920" w:h="16850"/>
          <w:pgMar w:top="280" w:right="0" w:bottom="280" w:left="340" w:header="720" w:footer="720" w:gutter="0"/>
          <w:cols w:space="720"/>
        </w:sectPr>
      </w:pPr>
    </w:p>
    <w:p w14:paraId="558874C8" w14:textId="77777777" w:rsidR="00CE3D14" w:rsidRDefault="00101EE3">
      <w:pPr>
        <w:pStyle w:val="BodyText"/>
        <w:spacing w:before="28"/>
        <w:ind w:left="1"/>
        <w:jc w:val="center"/>
        <w:rPr>
          <w:rFonts w:ascii="Calibri"/>
        </w:rPr>
      </w:pPr>
      <w:r>
        <w:rPr>
          <w:rFonts w:ascii="Calibri"/>
        </w:rPr>
        <w:lastRenderedPageBreak/>
        <w:t>1</w:t>
      </w:r>
    </w:p>
    <w:sectPr w:rsidR="00CE3D14">
      <w:pgSz w:w="11920" w:h="16850"/>
      <w:pgMar w:top="7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D14"/>
    <w:rsid w:val="00101EE3"/>
    <w:rsid w:val="002765FB"/>
    <w:rsid w:val="00312313"/>
    <w:rsid w:val="00735533"/>
    <w:rsid w:val="00CE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0B3CB"/>
  <w15:docId w15:val="{4A10A9B0-D025-4D9A-961B-986194800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44"/>
      <w:outlineLvl w:val="1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65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5FB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LCCG.IFR@nh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ice.org.uk/savingsandproductivity/collection" TargetMode="External"/><Relationship Id="rId5" Type="http://schemas.openxmlformats.org/officeDocument/2006/relationships/hyperlink" Target="http://www.nice.org.uk/savingsandproductivity/collection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NHS Trusts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ITC-JG</dc:creator>
  <cp:lastModifiedBy>HIGGINS, Jacky (NHS GLOUCESTERSHIRE CCG)</cp:lastModifiedBy>
  <cp:revision>2</cp:revision>
  <dcterms:created xsi:type="dcterms:W3CDTF">2022-06-15T09:44:00Z</dcterms:created>
  <dcterms:modified xsi:type="dcterms:W3CDTF">2022-06-15T09:44:00Z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2018-07-18T00:00:00Z</vt:filetime>
  </property>
</Properties>
</file>