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0D6E" w14:textId="77777777" w:rsidR="004D1593" w:rsidRDefault="00B763E3">
      <w:pPr>
        <w:pStyle w:val="BodyText"/>
        <w:rPr>
          <w:rFonts w:ascii="Times New Roman"/>
          <w:sz w:val="20"/>
        </w:rPr>
      </w:pPr>
      <w:r>
        <w:rPr>
          <w:noProof/>
          <w:lang w:val="en-GB" w:eastAsia="en-GB"/>
        </w:rPr>
        <w:drawing>
          <wp:anchor distT="0" distB="0" distL="0" distR="0" simplePos="0" relativeHeight="1216" behindDoc="0" locked="0" layoutInCell="1" allowOverlap="1" wp14:anchorId="61B5C91A" wp14:editId="15F0E2C8">
            <wp:simplePos x="0" y="0"/>
            <wp:positionH relativeFrom="page">
              <wp:posOffset>4537075</wp:posOffset>
            </wp:positionH>
            <wp:positionV relativeFrom="page">
              <wp:posOffset>276224</wp:posOffset>
            </wp:positionV>
            <wp:extent cx="2934334" cy="1012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34334" cy="1012825"/>
                    </a:xfrm>
                    <a:prstGeom prst="rect">
                      <a:avLst/>
                    </a:prstGeom>
                  </pic:spPr>
                </pic:pic>
              </a:graphicData>
            </a:graphic>
          </wp:anchor>
        </w:drawing>
      </w:r>
    </w:p>
    <w:p w14:paraId="5959025C" w14:textId="77777777" w:rsidR="004D1593" w:rsidRDefault="004D1593">
      <w:pPr>
        <w:pStyle w:val="BodyText"/>
        <w:spacing w:before="4"/>
        <w:rPr>
          <w:rFonts w:ascii="Times New Roman"/>
          <w:sz w:val="18"/>
        </w:rPr>
      </w:pPr>
    </w:p>
    <w:p w14:paraId="46BC759D" w14:textId="77777777" w:rsidR="004D1593" w:rsidRDefault="00B763E3">
      <w:pPr>
        <w:spacing w:before="92"/>
        <w:ind w:left="5040"/>
        <w:rPr>
          <w:b/>
          <w:sz w:val="24"/>
        </w:rPr>
      </w:pPr>
      <w:r>
        <w:rPr>
          <w:b/>
          <w:sz w:val="24"/>
        </w:rPr>
        <w:t>Surrogacy</w:t>
      </w:r>
    </w:p>
    <w:p w14:paraId="46F8DAFB" w14:textId="77777777" w:rsidR="004D1593" w:rsidRDefault="004D1593">
      <w:pPr>
        <w:pStyle w:val="BodyText"/>
        <w:rPr>
          <w:b/>
          <w:sz w:val="20"/>
        </w:rPr>
      </w:pPr>
    </w:p>
    <w:p w14:paraId="53F5ABF2" w14:textId="77777777" w:rsidR="004D1593" w:rsidRDefault="004D1593">
      <w:pPr>
        <w:pStyle w:val="BodyText"/>
        <w:spacing w:before="7"/>
        <w:rPr>
          <w:b/>
          <w:sz w:val="11"/>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4D1593" w14:paraId="7E98709F" w14:textId="77777777">
        <w:trPr>
          <w:trHeight w:hRule="exact" w:val="1368"/>
        </w:trPr>
        <w:tc>
          <w:tcPr>
            <w:tcW w:w="2093" w:type="dxa"/>
            <w:shd w:val="clear" w:color="auto" w:fill="D9D9D9"/>
          </w:tcPr>
          <w:p w14:paraId="12D237D0" w14:textId="77777777" w:rsidR="004D1593" w:rsidRDefault="00B763E3">
            <w:pPr>
              <w:pStyle w:val="TableParagraph"/>
              <w:spacing w:line="240" w:lineRule="auto"/>
              <w:ind w:right="160"/>
              <w:rPr>
                <w:b/>
                <w:sz w:val="24"/>
              </w:rPr>
            </w:pPr>
            <w:r>
              <w:rPr>
                <w:b/>
                <w:sz w:val="24"/>
              </w:rPr>
              <w:t>Commissioning decision</w:t>
            </w:r>
          </w:p>
        </w:tc>
        <w:tc>
          <w:tcPr>
            <w:tcW w:w="7151" w:type="dxa"/>
          </w:tcPr>
          <w:p w14:paraId="25B3D253" w14:textId="77777777" w:rsidR="004D1593" w:rsidRDefault="00B763E3">
            <w:pPr>
              <w:pStyle w:val="TableParagraph"/>
              <w:spacing w:line="240" w:lineRule="auto"/>
              <w:ind w:right="337"/>
              <w:rPr>
                <w:b/>
                <w:sz w:val="24"/>
              </w:rPr>
            </w:pPr>
            <w:r>
              <w:rPr>
                <w:b/>
                <w:sz w:val="24"/>
              </w:rPr>
              <w:t>Surrogacy is considered a low priority for funding and will only be considered in exceptional circumstances. Funding approval must be sought from the CCG via the Individual Funding Request process prior to treatment.</w:t>
            </w:r>
          </w:p>
        </w:tc>
      </w:tr>
    </w:tbl>
    <w:p w14:paraId="392585FD" w14:textId="77777777" w:rsidR="004D1593" w:rsidRDefault="004D1593">
      <w:pPr>
        <w:pStyle w:val="BodyText"/>
        <w:spacing w:before="11"/>
        <w:rPr>
          <w:b/>
          <w:sz w:val="26"/>
        </w:rPr>
      </w:pPr>
    </w:p>
    <w:p w14:paraId="6F92090F" w14:textId="77777777" w:rsidR="004D1593" w:rsidRDefault="00B763E3">
      <w:pPr>
        <w:ind w:left="1120"/>
        <w:rPr>
          <w:b/>
          <w:sz w:val="24"/>
        </w:rPr>
      </w:pPr>
      <w:r>
        <w:rPr>
          <w:noProof/>
          <w:lang w:val="en-GB" w:eastAsia="en-GB"/>
        </w:rPr>
        <mc:AlternateContent>
          <mc:Choice Requires="wpg">
            <w:drawing>
              <wp:anchor distT="0" distB="0" distL="0" distR="0" simplePos="0" relativeHeight="1120" behindDoc="0" locked="0" layoutInCell="1" allowOverlap="1" wp14:anchorId="5538E18E" wp14:editId="0231E8B2">
                <wp:simplePos x="0" y="0"/>
                <wp:positionH relativeFrom="page">
                  <wp:posOffset>742950</wp:posOffset>
                </wp:positionH>
                <wp:positionV relativeFrom="paragraph">
                  <wp:posOffset>239395</wp:posOffset>
                </wp:positionV>
                <wp:extent cx="5970270" cy="3773170"/>
                <wp:effectExtent l="0" t="0" r="11430" b="1778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3773170"/>
                          <a:chOff x="1332" y="324"/>
                          <a:chExt cx="9402" cy="4619"/>
                        </a:xfrm>
                      </wpg:grpSpPr>
                      <wps:wsp>
                        <wps:cNvPr id="9" name="Line 14"/>
                        <wps:cNvCnPr/>
                        <wps:spPr bwMode="auto">
                          <a:xfrm>
                            <a:off x="1337" y="329"/>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332" y="324"/>
                            <a:ext cx="0" cy="46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337" y="4938"/>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10576" y="324"/>
                            <a:ext cx="0" cy="461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10"/>
                        <wps:cNvSpPr txBox="1">
                          <a:spLocks noChangeArrowheads="1"/>
                        </wps:cNvSpPr>
                        <wps:spPr bwMode="auto">
                          <a:xfrm>
                            <a:off x="1440" y="342"/>
                            <a:ext cx="9294"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1E24" w14:textId="77777777" w:rsidR="004D1593" w:rsidRDefault="00B763E3">
                              <w:pPr>
                                <w:ind w:right="-1"/>
                              </w:pPr>
                              <w:r>
                                <w:t>The CCG does not support or fund treatments for surrogacy. In addition support and funding will not be provided for any associated treatments (including fertility treatments)</w:t>
                              </w:r>
                              <w:r w:rsidR="00C66BAC" w:rsidRPr="00C66BAC">
                                <w:rPr>
                                  <w:b/>
                                </w:rPr>
                                <w:t>*</w:t>
                              </w:r>
                              <w:r w:rsidR="00C66BAC">
                                <w:t xml:space="preserve"> </w:t>
                              </w:r>
                              <w:r>
                                <w:t>related to those in surrogacy arrangements.</w:t>
                              </w:r>
                            </w:p>
                            <w:p w14:paraId="1E5005F9" w14:textId="77777777" w:rsidR="00C66BAC" w:rsidRDefault="00C66BAC" w:rsidP="00C66BAC"/>
                            <w:p w14:paraId="7F01F273" w14:textId="77777777" w:rsidR="004D1593" w:rsidRDefault="00C66BAC" w:rsidP="00C66BAC">
                              <w:pPr>
                                <w:ind w:right="-1"/>
                                <w:rPr>
                                  <w:b/>
                                  <w:sz w:val="23"/>
                                </w:rPr>
                              </w:pPr>
                              <w:r w:rsidRPr="00C66BAC">
                                <w:rPr>
                                  <w:b/>
                                  <w:sz w:val="21"/>
                                  <w:szCs w:val="21"/>
                                </w:rPr>
                                <w:t>*See the fertility preservation policy for patients who are potentially at risk of infertility through a NHS pathway</w:t>
                              </w:r>
                              <w:r>
                                <w:rPr>
                                  <w:b/>
                                  <w:sz w:val="21"/>
                                  <w:szCs w:val="21"/>
                                </w:rPr>
                                <w:t>.</w:t>
                              </w:r>
                            </w:p>
                            <w:p w14:paraId="08BF338C" w14:textId="77777777" w:rsidR="00C66BAC" w:rsidRDefault="00C66BAC">
                              <w:pPr>
                                <w:spacing w:line="251" w:lineRule="exact"/>
                              </w:pPr>
                            </w:p>
                            <w:p w14:paraId="2A292873" w14:textId="77777777" w:rsidR="004D1593" w:rsidRDefault="00B763E3">
                              <w:pPr>
                                <w:spacing w:line="251" w:lineRule="exact"/>
                              </w:pPr>
                              <w:r>
                                <w:t>The CCG will not therefore:</w:t>
                              </w:r>
                            </w:p>
                            <w:p w14:paraId="08018C29" w14:textId="77777777" w:rsidR="00C66BAC" w:rsidRDefault="00C66BAC">
                              <w:pPr>
                                <w:spacing w:line="251" w:lineRule="exact"/>
                              </w:pPr>
                            </w:p>
                            <w:p w14:paraId="3E6AC634" w14:textId="77777777" w:rsidR="004D1593" w:rsidRDefault="00B763E3" w:rsidP="00C66BAC">
                              <w:pPr>
                                <w:pStyle w:val="ListParagraph"/>
                                <w:numPr>
                                  <w:ilvl w:val="0"/>
                                  <w:numId w:val="3"/>
                                </w:numPr>
                                <w:tabs>
                                  <w:tab w:val="left" w:pos="599"/>
                                  <w:tab w:val="left" w:pos="600"/>
                                </w:tabs>
                                <w:spacing w:line="267" w:lineRule="exact"/>
                              </w:pPr>
                              <w:r>
                                <w:t>Be involved in the recruitment of surrogate</w:t>
                              </w:r>
                              <w:r w:rsidRPr="00C66BAC">
                                <w:rPr>
                                  <w:spacing w:val="-27"/>
                                </w:rPr>
                                <w:t xml:space="preserve"> </w:t>
                              </w:r>
                              <w:r>
                                <w:t>mothers.</w:t>
                              </w:r>
                            </w:p>
                            <w:p w14:paraId="21429368" w14:textId="77777777" w:rsidR="004D1593" w:rsidRDefault="00B763E3">
                              <w:pPr>
                                <w:spacing w:line="269" w:lineRule="exact"/>
                                <w:ind w:left="240"/>
                                <w:rPr>
                                  <w:rFonts w:ascii="Symbol" w:hAnsi="Symbol"/>
                                </w:rPr>
                              </w:pPr>
                              <w:r>
                                <w:rPr>
                                  <w:rFonts w:ascii="Symbol" w:hAnsi="Symbol"/>
                                </w:rPr>
                                <w:t></w:t>
                              </w:r>
                            </w:p>
                          </w:txbxContent>
                        </wps:txbx>
                        <wps:bodyPr rot="0" vert="horz" wrap="square" lIns="0" tIns="0" rIns="0" bIns="0" anchor="t" anchorCtr="0" upright="1">
                          <a:noAutofit/>
                        </wps:bodyPr>
                      </wps:wsp>
                      <wps:wsp>
                        <wps:cNvPr id="15" name="Text Box 8"/>
                        <wps:cNvSpPr txBox="1">
                          <a:spLocks noChangeArrowheads="1"/>
                        </wps:cNvSpPr>
                        <wps:spPr bwMode="auto">
                          <a:xfrm>
                            <a:off x="1691" y="2255"/>
                            <a:ext cx="7923"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89B7" w14:textId="77777777" w:rsidR="004D1593" w:rsidRDefault="00B763E3" w:rsidP="00C66BAC">
                              <w:pPr>
                                <w:pStyle w:val="ListParagraph"/>
                                <w:numPr>
                                  <w:ilvl w:val="0"/>
                                  <w:numId w:val="2"/>
                                </w:numPr>
                                <w:spacing w:line="242" w:lineRule="auto"/>
                                <w:ind w:right="-3"/>
                              </w:pPr>
                              <w:r>
                                <w:t>Fund that element of treatment which relates specifically to addressing fertility treatments directly associated with surrogacy arrangements.</w:t>
                              </w:r>
                            </w:p>
                            <w:p w14:paraId="50EC0314" w14:textId="77777777" w:rsidR="004D1593" w:rsidRDefault="00B763E3" w:rsidP="00C66BAC">
                              <w:pPr>
                                <w:pStyle w:val="ListParagraph"/>
                                <w:numPr>
                                  <w:ilvl w:val="0"/>
                                  <w:numId w:val="2"/>
                                </w:numPr>
                                <w:spacing w:before="24"/>
                                <w:ind w:right="131"/>
                              </w:pPr>
                              <w:r>
                                <w:t>Fund any payments to the surrogate mother (to cover expenses, legal costs, treatments abroad or transport costs).</w:t>
                              </w:r>
                            </w:p>
                          </w:txbxContent>
                        </wps:txbx>
                        <wps:bodyPr rot="0" vert="horz" wrap="square" lIns="0" tIns="0" rIns="0" bIns="0" anchor="t" anchorCtr="0" upright="1">
                          <a:noAutofit/>
                        </wps:bodyPr>
                      </wps:wsp>
                      <wps:wsp>
                        <wps:cNvPr id="16" name="Text Box 7"/>
                        <wps:cNvSpPr txBox="1">
                          <a:spLocks noChangeArrowheads="1"/>
                        </wps:cNvSpPr>
                        <wps:spPr bwMode="auto">
                          <a:xfrm>
                            <a:off x="1440" y="3330"/>
                            <a:ext cx="8964"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17A48" w14:textId="77777777" w:rsidR="004D1593" w:rsidRDefault="00B763E3">
                              <w:pPr>
                                <w:ind w:right="5"/>
                              </w:pPr>
                              <w:r>
                                <w:t>Funding for other assisted conception services will continue to be funded for couples in line with our assisted conception policy. The fact that a couple may consider surrogacy at a later stage will not be an issue in determining initial entitlement to access fertility services.</w:t>
                              </w:r>
                            </w:p>
                            <w:p w14:paraId="156D0DE6" w14:textId="77777777" w:rsidR="004D1593" w:rsidRDefault="004D1593">
                              <w:pPr>
                                <w:spacing w:before="3"/>
                                <w:rPr>
                                  <w:b/>
                                  <w:sz w:val="23"/>
                                </w:rPr>
                              </w:pPr>
                            </w:p>
                            <w:p w14:paraId="13BB000E" w14:textId="77777777" w:rsidR="004D1593" w:rsidRDefault="00B763E3">
                              <w:pPr>
                                <w:ind w:right="297"/>
                              </w:pPr>
                              <w:r>
                                <w:t xml:space="preserve">The CCG </w:t>
                              </w:r>
                              <w:r w:rsidR="00233EEC">
                                <w:t>commission’s</w:t>
                              </w:r>
                              <w:r>
                                <w:t xml:space="preserve"> services to provide appropriate support and guidance to women during and after pregnancy and these services will continue to be provided to surrogates.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8E18E" id="Group 6" o:spid="_x0000_s1026" style="position:absolute;left:0;text-align:left;margin-left:58.5pt;margin-top:18.85pt;width:470.1pt;height:297.1pt;z-index:1120;mso-wrap-distance-left:0;mso-wrap-distance-right:0;mso-position-horizontal-relative:page" coordorigin="1332,324" coordsize="9402,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">
                <v:line id="Line 14" o:spid="_x0000_s1027" style="position:absolute;visibility:visible;mso-wrap-style:square" from="1337,329" to="1057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3" o:spid="_x0000_s1028" style="position:absolute;visibility:visible;mso-wrap-style:square" from="1332,324" to="1332,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2" o:spid="_x0000_s1029" style="position:absolute;visibility:visible;mso-wrap-style:square" from="1337,4938" to="1057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0" style="position:absolute;visibility:visible;mso-wrap-style:square" from="10576,324" to="10576,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shapetype id="_x0000_t202" coordsize="21600,21600" o:spt="202" path="m,l,21600r21600,l21600,xe">
                  <v:stroke joinstyle="miter"/>
                  <v:path gradientshapeok="t" o:connecttype="rect"/>
                </v:shapetype>
                <v:shape id="Text Box 10" o:spid="_x0000_s1031" type="#_x0000_t202" style="position:absolute;left:1440;top:342;width:9294;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FCB1E24" w14:textId="77777777" w:rsidR="004D1593" w:rsidRDefault="00B763E3">
                        <w:pPr>
                          <w:ind w:right="-1"/>
                        </w:pPr>
                        <w:r>
                          <w:t>The CCG does not support or fund treatments for surrogacy. In addition support and funding will not be provided for any associated treatments (including fertility treatments)</w:t>
                        </w:r>
                        <w:r w:rsidR="00C66BAC" w:rsidRPr="00C66BAC">
                          <w:rPr>
                            <w:b/>
                          </w:rPr>
                          <w:t>*</w:t>
                        </w:r>
                        <w:r w:rsidR="00C66BAC">
                          <w:t xml:space="preserve"> </w:t>
                        </w:r>
                        <w:r>
                          <w:t>related to those in surrogacy arrangements.</w:t>
                        </w:r>
                      </w:p>
                      <w:p w14:paraId="1E5005F9" w14:textId="77777777" w:rsidR="00C66BAC" w:rsidRDefault="00C66BAC" w:rsidP="00C66BAC"/>
                      <w:p w14:paraId="7F01F273" w14:textId="77777777" w:rsidR="004D1593" w:rsidRDefault="00C66BAC" w:rsidP="00C66BAC">
                        <w:pPr>
                          <w:ind w:right="-1"/>
                          <w:rPr>
                            <w:b/>
                            <w:sz w:val="23"/>
                          </w:rPr>
                        </w:pPr>
                        <w:r w:rsidRPr="00C66BAC">
                          <w:rPr>
                            <w:b/>
                            <w:sz w:val="21"/>
                            <w:szCs w:val="21"/>
                          </w:rPr>
                          <w:t>*See the fertility preservation policy for patients who are potentially at risk of infertility through a NHS pathway</w:t>
                        </w:r>
                        <w:r>
                          <w:rPr>
                            <w:b/>
                            <w:sz w:val="21"/>
                            <w:szCs w:val="21"/>
                          </w:rPr>
                          <w:t>.</w:t>
                        </w:r>
                      </w:p>
                      <w:p w14:paraId="08BF338C" w14:textId="77777777" w:rsidR="00C66BAC" w:rsidRDefault="00C66BAC">
                        <w:pPr>
                          <w:spacing w:line="251" w:lineRule="exact"/>
                        </w:pPr>
                      </w:p>
                      <w:p w14:paraId="2A292873" w14:textId="77777777" w:rsidR="004D1593" w:rsidRDefault="00B763E3">
                        <w:pPr>
                          <w:spacing w:line="251" w:lineRule="exact"/>
                        </w:pPr>
                        <w:r>
                          <w:t>The CCG will not therefore:</w:t>
                        </w:r>
                      </w:p>
                      <w:p w14:paraId="08018C29" w14:textId="77777777" w:rsidR="00C66BAC" w:rsidRDefault="00C66BAC">
                        <w:pPr>
                          <w:spacing w:line="251" w:lineRule="exact"/>
                        </w:pPr>
                      </w:p>
                      <w:p w14:paraId="3E6AC634" w14:textId="77777777" w:rsidR="004D1593" w:rsidRDefault="00B763E3" w:rsidP="00C66BAC">
                        <w:pPr>
                          <w:pStyle w:val="ListParagraph"/>
                          <w:numPr>
                            <w:ilvl w:val="0"/>
                            <w:numId w:val="3"/>
                          </w:numPr>
                          <w:tabs>
                            <w:tab w:val="left" w:pos="599"/>
                            <w:tab w:val="left" w:pos="600"/>
                          </w:tabs>
                          <w:spacing w:line="267" w:lineRule="exact"/>
                        </w:pPr>
                        <w:r>
                          <w:t>Be involved in the recruitment of surrogate</w:t>
                        </w:r>
                        <w:r w:rsidRPr="00C66BAC">
                          <w:rPr>
                            <w:spacing w:val="-27"/>
                          </w:rPr>
                          <w:t xml:space="preserve"> </w:t>
                        </w:r>
                        <w:r>
                          <w:t>mothers.</w:t>
                        </w:r>
                      </w:p>
                      <w:p w14:paraId="21429368" w14:textId="77777777" w:rsidR="004D1593" w:rsidRDefault="00B763E3">
                        <w:pPr>
                          <w:spacing w:line="269" w:lineRule="exact"/>
                          <w:ind w:left="240"/>
                          <w:rPr>
                            <w:rFonts w:ascii="Symbol" w:hAnsi="Symbol"/>
                          </w:rPr>
                        </w:pPr>
                        <w:r>
                          <w:rPr>
                            <w:rFonts w:ascii="Symbol" w:hAnsi="Symbol"/>
                          </w:rPr>
                          <w:t></w:t>
                        </w:r>
                      </w:p>
                    </w:txbxContent>
                  </v:textbox>
                </v:shape>
                <v:shape id="Text Box 8" o:spid="_x0000_s1032" type="#_x0000_t202" style="position:absolute;left:1691;top:2255;width:7923;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A6C89B7" w14:textId="77777777" w:rsidR="004D1593" w:rsidRDefault="00B763E3" w:rsidP="00C66BAC">
                        <w:pPr>
                          <w:pStyle w:val="ListParagraph"/>
                          <w:numPr>
                            <w:ilvl w:val="0"/>
                            <w:numId w:val="2"/>
                          </w:numPr>
                          <w:spacing w:line="242" w:lineRule="auto"/>
                          <w:ind w:right="-3"/>
                        </w:pPr>
                        <w:r>
                          <w:t>Fund that element of treatment which relates specifically to addressing fertility treatments directly associated with surrogacy arrangements.</w:t>
                        </w:r>
                      </w:p>
                      <w:p w14:paraId="50EC0314" w14:textId="77777777" w:rsidR="004D1593" w:rsidRDefault="00B763E3" w:rsidP="00C66BAC">
                        <w:pPr>
                          <w:pStyle w:val="ListParagraph"/>
                          <w:numPr>
                            <w:ilvl w:val="0"/>
                            <w:numId w:val="2"/>
                          </w:numPr>
                          <w:spacing w:before="24"/>
                          <w:ind w:right="131"/>
                        </w:pPr>
                        <w:r>
                          <w:t>Fund any payments to the surrogate mother (to cover expenses, legal costs, treatments abroad or transport costs).</w:t>
                        </w:r>
                      </w:p>
                    </w:txbxContent>
                  </v:textbox>
                </v:shape>
                <v:shape id="Text Box 7" o:spid="_x0000_s1033" type="#_x0000_t202" style="position:absolute;left:1440;top:3330;width:8964;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D717A48" w14:textId="77777777" w:rsidR="004D1593" w:rsidRDefault="00B763E3">
                        <w:pPr>
                          <w:ind w:right="5"/>
                        </w:pPr>
                        <w:r>
                          <w:t>Funding for other assisted conception services will continue to be funded for couples in line with our assisted conception policy. The fact that a couple may consider surrogacy at a later stage will not be an issue in determining initial entitlement to access fertility services.</w:t>
                        </w:r>
                      </w:p>
                      <w:p w14:paraId="156D0DE6" w14:textId="77777777" w:rsidR="004D1593" w:rsidRDefault="004D1593">
                        <w:pPr>
                          <w:spacing w:before="3"/>
                          <w:rPr>
                            <w:b/>
                            <w:sz w:val="23"/>
                          </w:rPr>
                        </w:pPr>
                      </w:p>
                      <w:p w14:paraId="13BB000E" w14:textId="77777777" w:rsidR="004D1593" w:rsidRDefault="00B763E3">
                        <w:pPr>
                          <w:ind w:right="297"/>
                        </w:pPr>
                        <w:r>
                          <w:t xml:space="preserve">The CCG </w:t>
                        </w:r>
                        <w:r w:rsidR="00233EEC">
                          <w:t>commission’s</w:t>
                        </w:r>
                        <w:r>
                          <w:t xml:space="preserve"> services to provide appropriate support and guidance to women during and after pregnancy and these services will continue to be provided to surrogates.</w:t>
                        </w:r>
                      </w:p>
                    </w:txbxContent>
                  </v:textbox>
                </v:shape>
                <w10:wrap type="topAndBottom" anchorx="page"/>
              </v:group>
            </w:pict>
          </mc:Fallback>
        </mc:AlternateContent>
      </w:r>
      <w:r>
        <w:rPr>
          <w:b/>
          <w:sz w:val="24"/>
        </w:rPr>
        <w:t>Policy Statement:</w:t>
      </w:r>
    </w:p>
    <w:p w14:paraId="50726F99" w14:textId="77777777" w:rsidR="004D1593" w:rsidRDefault="004D1593">
      <w:pPr>
        <w:pStyle w:val="BodyText"/>
        <w:rPr>
          <w:b/>
        </w:rPr>
      </w:pPr>
    </w:p>
    <w:p w14:paraId="513010D4" w14:textId="77777777" w:rsidR="004D1593" w:rsidRDefault="00B763E3">
      <w:pPr>
        <w:pStyle w:val="Heading1"/>
      </w:pPr>
      <w:r>
        <w:rPr>
          <w:noProof/>
          <w:lang w:val="en-GB" w:eastAsia="en-GB"/>
        </w:rPr>
        <mc:AlternateContent>
          <mc:Choice Requires="wps">
            <w:drawing>
              <wp:anchor distT="0" distB="0" distL="0" distR="0" simplePos="0" relativeHeight="1144" behindDoc="0" locked="0" layoutInCell="1" allowOverlap="1" wp14:anchorId="4FB89B8D" wp14:editId="7834547A">
                <wp:simplePos x="0" y="0"/>
                <wp:positionH relativeFrom="page">
                  <wp:posOffset>842645</wp:posOffset>
                </wp:positionH>
                <wp:positionV relativeFrom="paragraph">
                  <wp:posOffset>207645</wp:posOffset>
                </wp:positionV>
                <wp:extent cx="5869940" cy="605790"/>
                <wp:effectExtent l="0" t="0" r="16510" b="2286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057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23244" w14:textId="77777777" w:rsidR="004D1593" w:rsidRDefault="00B763E3">
                            <w:pPr>
                              <w:spacing w:before="5" w:line="262" w:lineRule="exact"/>
                              <w:ind w:left="103" w:right="248"/>
                              <w:rPr>
                                <w:sz w:val="23"/>
                              </w:rPr>
                            </w:pPr>
                            <w:r>
                              <w:rPr>
                                <w:sz w:val="23"/>
                              </w:rPr>
                              <w:t>Gloucestershire CCG will not commission any form of fertility treatment to those in surrogacy arrangements. This is due to the numerous legal and ethical issues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9B8D" id="Text Box 5" o:spid="_x0000_s1034" type="#_x0000_t202" style="position:absolute;left:0;text-align:left;margin-left:66.35pt;margin-top:16.35pt;width:462.2pt;height:47.7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" filled="f" strokeweight=".16936mm">
                <v:textbox inset="0,0,0,0">
                  <w:txbxContent>
                    <w:p w14:paraId="32C23244" w14:textId="77777777" w:rsidR="004D1593" w:rsidRDefault="00B763E3">
                      <w:pPr>
                        <w:spacing w:before="5" w:line="262" w:lineRule="exact"/>
                        <w:ind w:left="103" w:right="248"/>
                        <w:rPr>
                          <w:sz w:val="23"/>
                        </w:rPr>
                      </w:pPr>
                      <w:r>
                        <w:rPr>
                          <w:sz w:val="23"/>
                        </w:rPr>
                        <w:t>Gloucestershire CCG will not commission any form of fertility treatment to those in surrogacy arrangements. This is due to the numerous legal and ethical issues involved.</w:t>
                      </w:r>
                    </w:p>
                  </w:txbxContent>
                </v:textbox>
                <w10:wrap type="topAndBottom" anchorx="page"/>
              </v:shape>
            </w:pict>
          </mc:Fallback>
        </mc:AlternateContent>
      </w:r>
      <w:r w:rsidR="00C66BAC">
        <w:t>R</w:t>
      </w:r>
      <w:r>
        <w:t>ationale:</w:t>
      </w:r>
    </w:p>
    <w:p w14:paraId="3C028376" w14:textId="77777777" w:rsidR="004D1593" w:rsidRDefault="004D1593">
      <w:pPr>
        <w:pStyle w:val="BodyText"/>
        <w:spacing w:before="3"/>
        <w:rPr>
          <w:b/>
          <w:sz w:val="23"/>
        </w:rPr>
      </w:pPr>
    </w:p>
    <w:p w14:paraId="477A15AA" w14:textId="77777777" w:rsidR="004D1593" w:rsidRDefault="00B763E3">
      <w:pPr>
        <w:pStyle w:val="Heading1"/>
      </w:pPr>
      <w:r>
        <w:rPr>
          <w:noProof/>
          <w:lang w:val="en-GB" w:eastAsia="en-GB"/>
        </w:rPr>
        <mc:AlternateContent>
          <mc:Choice Requires="wps">
            <w:drawing>
              <wp:anchor distT="0" distB="0" distL="0" distR="0" simplePos="0" relativeHeight="1168" behindDoc="0" locked="0" layoutInCell="1" allowOverlap="1" wp14:anchorId="0A99BE84" wp14:editId="472E7A89">
                <wp:simplePos x="0" y="0"/>
                <wp:positionH relativeFrom="page">
                  <wp:posOffset>845820</wp:posOffset>
                </wp:positionH>
                <wp:positionV relativeFrom="paragraph">
                  <wp:posOffset>208280</wp:posOffset>
                </wp:positionV>
                <wp:extent cx="5869940" cy="1628140"/>
                <wp:effectExtent l="7620" t="8255" r="8890" b="1143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6281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A2553B" w14:textId="77777777" w:rsidR="004D1593" w:rsidRDefault="00B763E3">
                            <w:pPr>
                              <w:pStyle w:val="BodyText"/>
                              <w:ind w:left="103" w:right="108"/>
                            </w:pPr>
                            <w:r>
                              <w:t>Gloucestershire CCG will not normally fund any form of fertility treatment to those in surrogacy arrangements (i.e. the use of a third party to bear a child for another couple), but it may be considered in exceptional circumstances.</w:t>
                            </w:r>
                          </w:p>
                          <w:p w14:paraId="2BACAF6C" w14:textId="77777777" w:rsidR="004D1593" w:rsidRDefault="004D1593">
                            <w:pPr>
                              <w:pStyle w:val="BodyText"/>
                              <w:spacing w:before="2"/>
                              <w:rPr>
                                <w:b/>
                              </w:rPr>
                            </w:pPr>
                          </w:p>
                          <w:p w14:paraId="1AD286CC" w14:textId="77777777" w:rsidR="004D1593" w:rsidRDefault="00B763E3">
                            <w:pPr>
                              <w:pStyle w:val="BodyText"/>
                              <w:ind w:left="103" w:right="145"/>
                            </w:pPr>
                            <w:r>
                              <w:t>If your doctor believes you should be considered for this treatment your doctor will need to complete an Individual Funding Request application form to request funding from the CCG, and within this application will need to demonstrate why your circumstances are exceptional. The CCG will consider such applications on a case by case basis in order to determine whether or not the procedure would be funded on the NHS.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BE84" id="Text Box 4" o:spid="_x0000_s1035" type="#_x0000_t202" style="position:absolute;left:0;text-align:left;margin-left:66.6pt;margin-top:16.4pt;width:462.2pt;height:128.2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" filled="f" strokeweight=".16936mm">
                <v:textbox inset="0,0,0,0">
                  <w:txbxContent>
                    <w:p w14:paraId="61A2553B" w14:textId="77777777" w:rsidR="004D1593" w:rsidRDefault="00B763E3">
                      <w:pPr>
                        <w:pStyle w:val="BodyText"/>
                        <w:ind w:left="103" w:right="108"/>
                      </w:pPr>
                      <w:r>
                        <w:t>Gloucestershire CCG will not normally fund any form of fertility treatment to those in surrogacy arrangements (i.e. the use of a third party to bear a child for another couple), but it may be considered in exceptional circumstances.</w:t>
                      </w:r>
                    </w:p>
                    <w:p w14:paraId="2BACAF6C" w14:textId="77777777" w:rsidR="004D1593" w:rsidRDefault="004D1593">
                      <w:pPr>
                        <w:pStyle w:val="BodyText"/>
                        <w:spacing w:before="2"/>
                        <w:rPr>
                          <w:b/>
                        </w:rPr>
                      </w:pPr>
                    </w:p>
                    <w:p w14:paraId="1AD286CC" w14:textId="77777777" w:rsidR="004D1593" w:rsidRDefault="00B763E3">
                      <w:pPr>
                        <w:pStyle w:val="BodyText"/>
                        <w:ind w:left="103" w:right="145"/>
                      </w:pPr>
                      <w:r>
                        <w:t>If your doctor believes you should be considered for this treatment your doctor will need to complete an Individual Funding Request application form to request funding from the CCG, and within this application will need to demonstrate why your circumstances are exceptional. The CCG will consider such applications on a case by case basis in order to determine whether or not the procedure would be funded on the NHS.</w:t>
                      </w:r>
                    </w:p>
                  </w:txbxContent>
                </v:textbox>
                <w10:wrap type="topAndBottom" anchorx="page"/>
              </v:shape>
            </w:pict>
          </mc:Fallback>
        </mc:AlternateContent>
      </w:r>
      <w:r>
        <w:t>Plain English Summary:</w:t>
      </w:r>
    </w:p>
    <w:p w14:paraId="319E05C2" w14:textId="77777777" w:rsidR="004D1593" w:rsidRDefault="004D1593">
      <w:pPr>
        <w:pStyle w:val="BodyText"/>
        <w:spacing w:before="2"/>
        <w:rPr>
          <w:b/>
          <w:sz w:val="23"/>
        </w:rPr>
      </w:pPr>
    </w:p>
    <w:p w14:paraId="164FA5A4" w14:textId="77777777" w:rsidR="004D1593" w:rsidRDefault="00B763E3">
      <w:pPr>
        <w:pStyle w:val="Heading1"/>
      </w:pPr>
      <w:r>
        <w:rPr>
          <w:noProof/>
          <w:lang w:val="en-GB" w:eastAsia="en-GB"/>
        </w:rPr>
        <mc:AlternateContent>
          <mc:Choice Requires="wps">
            <w:drawing>
              <wp:anchor distT="0" distB="0" distL="0" distR="0" simplePos="0" relativeHeight="1192" behindDoc="0" locked="0" layoutInCell="1" allowOverlap="1" wp14:anchorId="5D1FB688" wp14:editId="24AA544D">
                <wp:simplePos x="0" y="0"/>
                <wp:positionH relativeFrom="page">
                  <wp:posOffset>845820</wp:posOffset>
                </wp:positionH>
                <wp:positionV relativeFrom="paragraph">
                  <wp:posOffset>207010</wp:posOffset>
                </wp:positionV>
                <wp:extent cx="5869940" cy="205740"/>
                <wp:effectExtent l="7620" t="6985" r="8890" b="635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057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7AA5D8" w14:textId="77777777" w:rsidR="004D1593" w:rsidRDefault="00B763E3">
                            <w:pPr>
                              <w:pStyle w:val="BodyText"/>
                              <w:spacing w:before="60"/>
                              <w:ind w:left="103"/>
                            </w:pPr>
                            <w:r>
                              <w:t>Consistent with other CCG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B688" id="Text Box 3" o:spid="_x0000_s1036" type="#_x0000_t202" style="position:absolute;left:0;text-align:left;margin-left:66.6pt;margin-top:16.3pt;width:462.2pt;height:16.2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" filled="f" strokeweight=".16936mm">
                <v:textbox inset="0,0,0,0">
                  <w:txbxContent>
                    <w:p w14:paraId="5D7AA5D8" w14:textId="77777777" w:rsidR="004D1593" w:rsidRDefault="00B763E3">
                      <w:pPr>
                        <w:pStyle w:val="BodyText"/>
                        <w:spacing w:before="60"/>
                        <w:ind w:left="103"/>
                      </w:pPr>
                      <w:r>
                        <w:t>Consistent with other CCG policies</w:t>
                      </w:r>
                    </w:p>
                  </w:txbxContent>
                </v:textbox>
                <w10:wrap type="topAndBottom" anchorx="page"/>
              </v:shape>
            </w:pict>
          </mc:Fallback>
        </mc:AlternateContent>
      </w:r>
      <w:r>
        <w:t>Evidence base:</w:t>
      </w:r>
    </w:p>
    <w:p w14:paraId="089246F8" w14:textId="77777777" w:rsidR="004D1593" w:rsidRDefault="004D1593">
      <w:pPr>
        <w:sectPr w:rsidR="004D1593">
          <w:headerReference w:type="default" r:id="rId9"/>
          <w:type w:val="continuous"/>
          <w:pgSz w:w="11920" w:h="16850"/>
          <w:pgMar w:top="1700" w:right="40" w:bottom="280" w:left="320" w:header="278" w:footer="720" w:gutter="0"/>
          <w:cols w:space="720"/>
        </w:sectPr>
      </w:pPr>
    </w:p>
    <w:p w14:paraId="6EB94905" w14:textId="77777777" w:rsidR="00B763E3" w:rsidRDefault="00B763E3">
      <w:pPr>
        <w:spacing w:before="12"/>
        <w:ind w:left="1120"/>
        <w:rPr>
          <w:sz w:val="24"/>
        </w:rPr>
      </w:pPr>
    </w:p>
    <w:p w14:paraId="5533361B" w14:textId="77777777" w:rsidR="00233EEC" w:rsidRDefault="00233EEC">
      <w:pPr>
        <w:spacing w:before="42"/>
        <w:ind w:left="1120"/>
        <w:rPr>
          <w:sz w:val="24"/>
        </w:rPr>
      </w:pPr>
    </w:p>
    <w:p w14:paraId="28AF9C3A" w14:textId="77777777" w:rsidR="004D1593" w:rsidRDefault="00B763E3">
      <w:pPr>
        <w:spacing w:before="42"/>
        <w:ind w:left="1120"/>
        <w:rPr>
          <w:sz w:val="24"/>
        </w:rPr>
      </w:pPr>
      <w:r>
        <w:rPr>
          <w:sz w:val="24"/>
        </w:rPr>
        <w:t xml:space="preserve">For further information please contact </w:t>
      </w:r>
      <w:hyperlink r:id="rId10">
        <w:r>
          <w:rPr>
            <w:color w:val="0000FF"/>
            <w:sz w:val="24"/>
            <w:u w:val="single" w:color="0000FF"/>
          </w:rPr>
          <w:t>GLCCG.IFR@nhs.net</w:t>
        </w:r>
      </w:hyperlink>
    </w:p>
    <w:p w14:paraId="74091E8E" w14:textId="77777777" w:rsidR="004D1593" w:rsidRDefault="004D1593">
      <w:pPr>
        <w:pStyle w:val="BodyText"/>
        <w:rPr>
          <w:sz w:val="20"/>
        </w:rPr>
      </w:pPr>
    </w:p>
    <w:p w14:paraId="1CE6245A" w14:textId="77777777" w:rsidR="004D1593" w:rsidRDefault="004D1593">
      <w:pPr>
        <w:pStyle w:val="BodyText"/>
        <w:spacing w:before="5"/>
        <w:rPr>
          <w:sz w:val="11"/>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4D1593" w14:paraId="3EA6E0E3" w14:textId="77777777">
        <w:trPr>
          <w:trHeight w:hRule="exact" w:val="264"/>
        </w:trPr>
        <w:tc>
          <w:tcPr>
            <w:tcW w:w="2518" w:type="dxa"/>
          </w:tcPr>
          <w:p w14:paraId="440D406D" w14:textId="77777777" w:rsidR="004D1593" w:rsidRDefault="00B763E3">
            <w:pPr>
              <w:pStyle w:val="TableParagraph"/>
              <w:rPr>
                <w:b/>
              </w:rPr>
            </w:pPr>
            <w:r>
              <w:rPr>
                <w:b/>
              </w:rPr>
              <w:t>Date of publication</w:t>
            </w:r>
          </w:p>
        </w:tc>
        <w:tc>
          <w:tcPr>
            <w:tcW w:w="6726" w:type="dxa"/>
          </w:tcPr>
          <w:p w14:paraId="4B6D641F" w14:textId="77777777" w:rsidR="004D1593" w:rsidRDefault="00B763E3">
            <w:pPr>
              <w:pStyle w:val="TableParagraph"/>
              <w:rPr>
                <w:b/>
              </w:rPr>
            </w:pPr>
            <w:r>
              <w:rPr>
                <w:b/>
              </w:rPr>
              <w:t>December 2015</w:t>
            </w:r>
          </w:p>
        </w:tc>
      </w:tr>
      <w:tr w:rsidR="004D1593" w14:paraId="79A3506A" w14:textId="77777777">
        <w:trPr>
          <w:trHeight w:hRule="exact" w:val="264"/>
        </w:trPr>
        <w:tc>
          <w:tcPr>
            <w:tcW w:w="2518" w:type="dxa"/>
          </w:tcPr>
          <w:p w14:paraId="230E4653" w14:textId="77777777" w:rsidR="004D1593" w:rsidRDefault="00B763E3">
            <w:pPr>
              <w:pStyle w:val="TableParagraph"/>
              <w:rPr>
                <w:b/>
              </w:rPr>
            </w:pPr>
            <w:r>
              <w:rPr>
                <w:b/>
              </w:rPr>
              <w:t>Policy review date</w:t>
            </w:r>
          </w:p>
        </w:tc>
        <w:tc>
          <w:tcPr>
            <w:tcW w:w="6726" w:type="dxa"/>
          </w:tcPr>
          <w:p w14:paraId="75AC9A2B" w14:textId="47F6D239" w:rsidR="004D1593" w:rsidRDefault="00AC532A" w:rsidP="00B763E3">
            <w:pPr>
              <w:pStyle w:val="TableParagraph"/>
              <w:rPr>
                <w:b/>
              </w:rPr>
            </w:pPr>
            <w:r>
              <w:rPr>
                <w:b/>
              </w:rPr>
              <w:t>June 2025</w:t>
            </w:r>
          </w:p>
        </w:tc>
      </w:tr>
    </w:tbl>
    <w:p w14:paraId="0950E8D3" w14:textId="77777777" w:rsidR="004D1593" w:rsidRDefault="004D1593">
      <w:pPr>
        <w:pStyle w:val="BodyText"/>
        <w:spacing w:before="11"/>
        <w:rPr>
          <w:sz w:val="26"/>
        </w:rPr>
      </w:pPr>
    </w:p>
    <w:p w14:paraId="000092F0" w14:textId="77777777" w:rsidR="004D1593" w:rsidRDefault="00B763E3">
      <w:pPr>
        <w:spacing w:after="47"/>
        <w:ind w:left="1120"/>
        <w:rPr>
          <w:b/>
          <w:sz w:val="24"/>
        </w:rPr>
      </w:pPr>
      <w:r>
        <w:rPr>
          <w:b/>
          <w:sz w:val="24"/>
        </w:rPr>
        <w:t>Consultation</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4D1593" w14:paraId="272F0091" w14:textId="77777777">
        <w:trPr>
          <w:trHeight w:hRule="exact" w:val="264"/>
        </w:trPr>
        <w:tc>
          <w:tcPr>
            <w:tcW w:w="5922" w:type="dxa"/>
          </w:tcPr>
          <w:p w14:paraId="3111C214" w14:textId="77777777" w:rsidR="004D1593" w:rsidRDefault="00B763E3">
            <w:pPr>
              <w:pStyle w:val="TableParagraph"/>
              <w:rPr>
                <w:b/>
              </w:rPr>
            </w:pPr>
            <w:r>
              <w:rPr>
                <w:b/>
              </w:rPr>
              <w:t>Consultee</w:t>
            </w:r>
          </w:p>
        </w:tc>
        <w:tc>
          <w:tcPr>
            <w:tcW w:w="3322" w:type="dxa"/>
          </w:tcPr>
          <w:p w14:paraId="114F3849" w14:textId="77777777" w:rsidR="004D1593" w:rsidRDefault="00B763E3">
            <w:pPr>
              <w:pStyle w:val="TableParagraph"/>
              <w:rPr>
                <w:b/>
              </w:rPr>
            </w:pPr>
            <w:r>
              <w:rPr>
                <w:b/>
              </w:rPr>
              <w:t>Date</w:t>
            </w:r>
          </w:p>
        </w:tc>
      </w:tr>
      <w:tr w:rsidR="004D1593" w14:paraId="3F537BF3" w14:textId="77777777">
        <w:trPr>
          <w:trHeight w:hRule="exact" w:val="262"/>
        </w:trPr>
        <w:tc>
          <w:tcPr>
            <w:tcW w:w="5922" w:type="dxa"/>
          </w:tcPr>
          <w:p w14:paraId="51358F6B" w14:textId="77777777" w:rsidR="004D1593" w:rsidRDefault="00B763E3">
            <w:pPr>
              <w:pStyle w:val="TableParagraph"/>
            </w:pPr>
            <w:r>
              <w:t>Planned Care Programme Board</w:t>
            </w:r>
          </w:p>
        </w:tc>
        <w:tc>
          <w:tcPr>
            <w:tcW w:w="3322" w:type="dxa"/>
          </w:tcPr>
          <w:p w14:paraId="0ECBE66C" w14:textId="77777777" w:rsidR="004D1593" w:rsidRDefault="00B763E3">
            <w:pPr>
              <w:pStyle w:val="TableParagraph"/>
            </w:pPr>
            <w:r>
              <w:t>21</w:t>
            </w:r>
            <w:proofErr w:type="spellStart"/>
            <w:r>
              <w:rPr>
                <w:position w:val="10"/>
                <w:sz w:val="14"/>
              </w:rPr>
              <w:t>st</w:t>
            </w:r>
            <w:proofErr w:type="spellEnd"/>
            <w:r>
              <w:rPr>
                <w:position w:val="10"/>
                <w:sz w:val="14"/>
              </w:rPr>
              <w:t xml:space="preserve">  </w:t>
            </w:r>
            <w:r>
              <w:t>July 2015</w:t>
            </w:r>
          </w:p>
        </w:tc>
      </w:tr>
      <w:tr w:rsidR="004D1593" w14:paraId="1F959D93" w14:textId="77777777">
        <w:trPr>
          <w:trHeight w:hRule="exact" w:val="264"/>
        </w:trPr>
        <w:tc>
          <w:tcPr>
            <w:tcW w:w="5922" w:type="dxa"/>
            <w:shd w:val="clear" w:color="auto" w:fill="C4BA94"/>
          </w:tcPr>
          <w:p w14:paraId="00C6F465" w14:textId="77777777" w:rsidR="004D1593" w:rsidRDefault="004D1593"/>
        </w:tc>
        <w:tc>
          <w:tcPr>
            <w:tcW w:w="3322" w:type="dxa"/>
            <w:shd w:val="clear" w:color="auto" w:fill="C4BA94"/>
          </w:tcPr>
          <w:p w14:paraId="6B9A755F" w14:textId="77777777" w:rsidR="004D1593" w:rsidRDefault="004D1593"/>
        </w:tc>
      </w:tr>
      <w:tr w:rsidR="004D1593" w14:paraId="319F345A" w14:textId="77777777">
        <w:trPr>
          <w:trHeight w:hRule="exact" w:val="262"/>
        </w:trPr>
        <w:tc>
          <w:tcPr>
            <w:tcW w:w="5922" w:type="dxa"/>
          </w:tcPr>
          <w:p w14:paraId="49CACA2C" w14:textId="77777777" w:rsidR="004D1593" w:rsidRDefault="00B763E3">
            <w:pPr>
              <w:pStyle w:val="TableParagraph"/>
            </w:pPr>
            <w:r>
              <w:t>Has the consultation included patient representatives?</w:t>
            </w:r>
          </w:p>
        </w:tc>
        <w:tc>
          <w:tcPr>
            <w:tcW w:w="3322" w:type="dxa"/>
          </w:tcPr>
          <w:p w14:paraId="03BAD58D" w14:textId="77777777" w:rsidR="004D1593" w:rsidRDefault="00B763E3">
            <w:pPr>
              <w:pStyle w:val="TableParagraph"/>
              <w:rPr>
                <w:b/>
              </w:rPr>
            </w:pPr>
            <w:r>
              <w:rPr>
                <w:b/>
              </w:rPr>
              <w:t>No</w:t>
            </w:r>
          </w:p>
        </w:tc>
      </w:tr>
    </w:tbl>
    <w:p w14:paraId="43A82807" w14:textId="77777777" w:rsidR="004D1593" w:rsidRDefault="004D1593">
      <w:pPr>
        <w:pStyle w:val="BodyText"/>
        <w:spacing w:before="5"/>
        <w:rPr>
          <w:b/>
          <w:sz w:val="27"/>
        </w:rPr>
      </w:pPr>
    </w:p>
    <w:p w14:paraId="25146B63" w14:textId="77777777" w:rsidR="004D1593" w:rsidRDefault="00B763E3">
      <w:pPr>
        <w:spacing w:after="48"/>
        <w:ind w:left="1120"/>
        <w:rPr>
          <w:b/>
          <w:sz w:val="24"/>
        </w:rPr>
      </w:pPr>
      <w:r>
        <w:rPr>
          <w:b/>
          <w:sz w:val="24"/>
        </w:rPr>
        <w:t>Policy sign off</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4D1593" w14:paraId="14A96B68" w14:textId="77777777">
        <w:trPr>
          <w:trHeight w:hRule="exact" w:val="264"/>
        </w:trPr>
        <w:tc>
          <w:tcPr>
            <w:tcW w:w="5922" w:type="dxa"/>
          </w:tcPr>
          <w:p w14:paraId="1B687C73" w14:textId="77777777" w:rsidR="004D1593" w:rsidRDefault="00B763E3">
            <w:pPr>
              <w:pStyle w:val="TableParagraph"/>
              <w:rPr>
                <w:b/>
              </w:rPr>
            </w:pPr>
            <w:r>
              <w:rPr>
                <w:b/>
              </w:rPr>
              <w:t>Reviewing Body</w:t>
            </w:r>
          </w:p>
        </w:tc>
        <w:tc>
          <w:tcPr>
            <w:tcW w:w="3322" w:type="dxa"/>
          </w:tcPr>
          <w:p w14:paraId="127B0632" w14:textId="77777777" w:rsidR="004D1593" w:rsidRDefault="00B763E3">
            <w:pPr>
              <w:pStyle w:val="TableParagraph"/>
              <w:rPr>
                <w:b/>
              </w:rPr>
            </w:pPr>
            <w:r>
              <w:rPr>
                <w:b/>
              </w:rPr>
              <w:t>Date of review</w:t>
            </w:r>
          </w:p>
        </w:tc>
      </w:tr>
      <w:tr w:rsidR="004D1593" w14:paraId="1A2D69A4" w14:textId="77777777">
        <w:trPr>
          <w:trHeight w:hRule="exact" w:val="262"/>
        </w:trPr>
        <w:tc>
          <w:tcPr>
            <w:tcW w:w="5922" w:type="dxa"/>
          </w:tcPr>
          <w:p w14:paraId="428A33F2" w14:textId="77777777" w:rsidR="004D1593" w:rsidRDefault="00B763E3">
            <w:pPr>
              <w:pStyle w:val="TableParagraph"/>
            </w:pPr>
            <w:r>
              <w:t>Effective Clinical Commissioning Policy Group</w:t>
            </w:r>
          </w:p>
        </w:tc>
        <w:tc>
          <w:tcPr>
            <w:tcW w:w="3322" w:type="dxa"/>
          </w:tcPr>
          <w:p w14:paraId="4AF7A979" w14:textId="77777777" w:rsidR="004D1593" w:rsidRDefault="00B763E3">
            <w:pPr>
              <w:pStyle w:val="TableParagraph"/>
            </w:pPr>
            <w:r>
              <w:t>7</w:t>
            </w:r>
            <w:proofErr w:type="spellStart"/>
            <w:r>
              <w:rPr>
                <w:position w:val="10"/>
                <w:sz w:val="14"/>
              </w:rPr>
              <w:t>th</w:t>
            </w:r>
            <w:proofErr w:type="spellEnd"/>
            <w:r>
              <w:rPr>
                <w:position w:val="10"/>
                <w:sz w:val="14"/>
              </w:rPr>
              <w:t xml:space="preserve">  </w:t>
            </w:r>
            <w:r>
              <w:t>October 2015</w:t>
            </w:r>
          </w:p>
        </w:tc>
      </w:tr>
      <w:tr w:rsidR="00C66BAC" w14:paraId="2A007783" w14:textId="77777777" w:rsidTr="00C66BAC">
        <w:trPr>
          <w:trHeight w:hRule="exact" w:val="530"/>
        </w:trPr>
        <w:tc>
          <w:tcPr>
            <w:tcW w:w="5922" w:type="dxa"/>
          </w:tcPr>
          <w:p w14:paraId="5B3A7485" w14:textId="77777777" w:rsidR="00C66BAC" w:rsidRDefault="00C66BAC">
            <w:pPr>
              <w:pStyle w:val="TableParagraph"/>
            </w:pPr>
            <w:r>
              <w:t>Quality and Governance Committee</w:t>
            </w:r>
            <w:r w:rsidR="00DC28F5">
              <w:t>(minor wording change to reference the fertility preservation policy)</w:t>
            </w:r>
          </w:p>
        </w:tc>
        <w:tc>
          <w:tcPr>
            <w:tcW w:w="3322" w:type="dxa"/>
          </w:tcPr>
          <w:p w14:paraId="6C94F824" w14:textId="77777777" w:rsidR="00C66BAC" w:rsidRDefault="00C66BAC">
            <w:pPr>
              <w:pStyle w:val="TableParagraph"/>
            </w:pPr>
            <w:r>
              <w:t>13</w:t>
            </w:r>
            <w:r w:rsidRPr="00C66BAC">
              <w:rPr>
                <w:vertAlign w:val="superscript"/>
              </w:rPr>
              <w:t>th</w:t>
            </w:r>
            <w:r>
              <w:t xml:space="preserve"> June 2019</w:t>
            </w:r>
          </w:p>
        </w:tc>
      </w:tr>
    </w:tbl>
    <w:p w14:paraId="6EF5AEEF" w14:textId="77777777" w:rsidR="004D1593" w:rsidRDefault="004D1593">
      <w:pPr>
        <w:pStyle w:val="BodyText"/>
        <w:spacing w:before="8"/>
        <w:rPr>
          <w:b/>
          <w:sz w:val="21"/>
        </w:rPr>
      </w:pPr>
    </w:p>
    <w:p w14:paraId="6244F890" w14:textId="77777777" w:rsidR="004D1593" w:rsidRPr="003055C7" w:rsidRDefault="004D1593" w:rsidP="003055C7">
      <w:pPr>
        <w:spacing w:after="48"/>
        <w:ind w:left="1120"/>
        <w:rPr>
          <w:b/>
          <w:sz w:val="24"/>
        </w:rPr>
      </w:pPr>
    </w:p>
    <w:p w14:paraId="0B00A254" w14:textId="77777777" w:rsidR="003055C7" w:rsidRDefault="003055C7" w:rsidP="003055C7">
      <w:pPr>
        <w:spacing w:after="48"/>
        <w:ind w:left="1120"/>
      </w:pPr>
      <w:r w:rsidRPr="003055C7">
        <w:rPr>
          <w:b/>
          <w:sz w:val="24"/>
        </w:rPr>
        <w:t>Version Control</w:t>
      </w:r>
    </w:p>
    <w:tbl>
      <w:tblPr>
        <w:tblStyle w:val="TableGrid"/>
        <w:tblW w:w="0" w:type="auto"/>
        <w:tblInd w:w="1101" w:type="dxa"/>
        <w:tblLook w:val="04A0" w:firstRow="1" w:lastRow="0" w:firstColumn="1" w:lastColumn="0" w:noHBand="0" w:noVBand="1"/>
      </w:tblPr>
      <w:tblGrid>
        <w:gridCol w:w="1275"/>
        <w:gridCol w:w="3192"/>
        <w:gridCol w:w="1203"/>
        <w:gridCol w:w="3543"/>
      </w:tblGrid>
      <w:tr w:rsidR="003055C7" w14:paraId="5B110FEE" w14:textId="77777777" w:rsidTr="003055C7">
        <w:tc>
          <w:tcPr>
            <w:tcW w:w="1275" w:type="dxa"/>
          </w:tcPr>
          <w:p w14:paraId="32602737" w14:textId="77777777" w:rsidR="003055C7" w:rsidRDefault="003055C7" w:rsidP="003055C7">
            <w:pPr>
              <w:pStyle w:val="TableParagraph"/>
              <w:spacing w:line="248" w:lineRule="exact"/>
              <w:ind w:left="86" w:right="119"/>
              <w:rPr>
                <w:b/>
              </w:rPr>
            </w:pPr>
            <w:r>
              <w:rPr>
                <w:b/>
              </w:rPr>
              <w:t>Version No</w:t>
            </w:r>
          </w:p>
        </w:tc>
        <w:tc>
          <w:tcPr>
            <w:tcW w:w="3192" w:type="dxa"/>
          </w:tcPr>
          <w:p w14:paraId="2DCD3363" w14:textId="77777777" w:rsidR="003055C7" w:rsidRDefault="003055C7" w:rsidP="003055C7">
            <w:pPr>
              <w:pStyle w:val="TableParagraph"/>
              <w:spacing w:line="248" w:lineRule="exact"/>
              <w:rPr>
                <w:b/>
              </w:rPr>
            </w:pPr>
            <w:r>
              <w:rPr>
                <w:b/>
              </w:rPr>
              <w:t>Type of Change</w:t>
            </w:r>
          </w:p>
        </w:tc>
        <w:tc>
          <w:tcPr>
            <w:tcW w:w="1203" w:type="dxa"/>
          </w:tcPr>
          <w:p w14:paraId="34391E9A" w14:textId="77777777" w:rsidR="003055C7" w:rsidRDefault="003055C7" w:rsidP="003055C7">
            <w:pPr>
              <w:pStyle w:val="TableParagraph"/>
              <w:spacing w:line="248" w:lineRule="exact"/>
              <w:ind w:left="105"/>
              <w:rPr>
                <w:b/>
              </w:rPr>
            </w:pPr>
            <w:r>
              <w:rPr>
                <w:b/>
              </w:rPr>
              <w:t>Date</w:t>
            </w:r>
          </w:p>
        </w:tc>
        <w:tc>
          <w:tcPr>
            <w:tcW w:w="3543" w:type="dxa"/>
          </w:tcPr>
          <w:p w14:paraId="0E57D849" w14:textId="77777777" w:rsidR="003055C7" w:rsidRDefault="003055C7" w:rsidP="003055C7">
            <w:pPr>
              <w:pStyle w:val="TableParagraph"/>
              <w:spacing w:line="248" w:lineRule="exact"/>
              <w:rPr>
                <w:b/>
              </w:rPr>
            </w:pPr>
            <w:r>
              <w:rPr>
                <w:b/>
              </w:rPr>
              <w:t>Description of Change</w:t>
            </w:r>
          </w:p>
        </w:tc>
      </w:tr>
      <w:tr w:rsidR="003055C7" w14:paraId="7AC6F016" w14:textId="77777777" w:rsidTr="003055C7">
        <w:tc>
          <w:tcPr>
            <w:tcW w:w="1275" w:type="dxa"/>
          </w:tcPr>
          <w:p w14:paraId="389D0C21" w14:textId="77777777" w:rsidR="003055C7" w:rsidRDefault="003055C7" w:rsidP="003055C7">
            <w:pPr>
              <w:pStyle w:val="TableParagraph"/>
              <w:spacing w:before="91" w:line="240" w:lineRule="auto"/>
              <w:ind w:left="0" w:right="65"/>
              <w:jc w:val="center"/>
            </w:pPr>
            <w:r>
              <w:t>2</w:t>
            </w:r>
          </w:p>
        </w:tc>
        <w:tc>
          <w:tcPr>
            <w:tcW w:w="3192" w:type="dxa"/>
          </w:tcPr>
          <w:p w14:paraId="7BE732B0" w14:textId="77777777" w:rsidR="003055C7" w:rsidRDefault="003055C7" w:rsidP="003055C7">
            <w:pPr>
              <w:pStyle w:val="TableParagraph"/>
              <w:spacing w:before="58" w:line="240" w:lineRule="auto"/>
              <w:ind w:left="0"/>
            </w:pPr>
            <w:r>
              <w:t xml:space="preserve">Date change </w:t>
            </w:r>
          </w:p>
        </w:tc>
        <w:tc>
          <w:tcPr>
            <w:tcW w:w="1203" w:type="dxa"/>
          </w:tcPr>
          <w:p w14:paraId="6F908EEF" w14:textId="77777777" w:rsidR="003055C7" w:rsidRDefault="003055C7" w:rsidP="003055C7">
            <w:pPr>
              <w:pStyle w:val="TableParagraph"/>
              <w:spacing w:before="58" w:line="240" w:lineRule="auto"/>
              <w:ind w:left="0"/>
            </w:pPr>
            <w:r>
              <w:t>03.5.18</w:t>
            </w:r>
          </w:p>
        </w:tc>
        <w:tc>
          <w:tcPr>
            <w:tcW w:w="3543" w:type="dxa"/>
          </w:tcPr>
          <w:p w14:paraId="17C8508D" w14:textId="77777777" w:rsidR="003055C7" w:rsidRDefault="003055C7" w:rsidP="003055C7">
            <w:pPr>
              <w:pStyle w:val="TableParagraph"/>
              <w:spacing w:before="91" w:line="240" w:lineRule="auto"/>
              <w:ind w:left="0"/>
            </w:pPr>
            <w:r>
              <w:t>Policy review date changed from December 2017 to May 2022</w:t>
            </w:r>
          </w:p>
        </w:tc>
      </w:tr>
      <w:tr w:rsidR="003055C7" w14:paraId="7F6B7CFA" w14:textId="77777777" w:rsidTr="003055C7">
        <w:tc>
          <w:tcPr>
            <w:tcW w:w="1275" w:type="dxa"/>
          </w:tcPr>
          <w:p w14:paraId="3CF5650B" w14:textId="77777777" w:rsidR="003055C7" w:rsidRDefault="003055C7" w:rsidP="003055C7">
            <w:pPr>
              <w:jc w:val="center"/>
            </w:pPr>
            <w:r>
              <w:t>3</w:t>
            </w:r>
          </w:p>
        </w:tc>
        <w:tc>
          <w:tcPr>
            <w:tcW w:w="3192" w:type="dxa"/>
          </w:tcPr>
          <w:p w14:paraId="2D3223F3" w14:textId="77777777" w:rsidR="003055C7" w:rsidRDefault="003055C7" w:rsidP="003055C7">
            <w:r>
              <w:t>Minor wording change</w:t>
            </w:r>
          </w:p>
        </w:tc>
        <w:tc>
          <w:tcPr>
            <w:tcW w:w="1203" w:type="dxa"/>
          </w:tcPr>
          <w:p w14:paraId="7799E9A8" w14:textId="77777777" w:rsidR="003055C7" w:rsidRDefault="003055C7" w:rsidP="003055C7">
            <w:r>
              <w:t>13.6.19</w:t>
            </w:r>
          </w:p>
        </w:tc>
        <w:tc>
          <w:tcPr>
            <w:tcW w:w="3543" w:type="dxa"/>
          </w:tcPr>
          <w:p w14:paraId="66A5BDB4" w14:textId="77777777" w:rsidR="003055C7" w:rsidRDefault="003055C7" w:rsidP="003055C7">
            <w:r>
              <w:t>Change to update policy to reflect the ratification of the fertility preservation policy.</w:t>
            </w:r>
          </w:p>
        </w:tc>
      </w:tr>
      <w:tr w:rsidR="00AC532A" w14:paraId="2D101783" w14:textId="77777777" w:rsidTr="003055C7">
        <w:tc>
          <w:tcPr>
            <w:tcW w:w="1275" w:type="dxa"/>
          </w:tcPr>
          <w:p w14:paraId="57F6644D" w14:textId="5D62CA37" w:rsidR="00AC532A" w:rsidRDefault="00AC532A" w:rsidP="003055C7">
            <w:pPr>
              <w:jc w:val="center"/>
            </w:pPr>
            <w:r>
              <w:t>4</w:t>
            </w:r>
          </w:p>
        </w:tc>
        <w:tc>
          <w:tcPr>
            <w:tcW w:w="3192" w:type="dxa"/>
          </w:tcPr>
          <w:p w14:paraId="2272B3B1" w14:textId="7FF14345" w:rsidR="00AC532A" w:rsidRDefault="00AC532A" w:rsidP="003055C7">
            <w:r>
              <w:t>Review date</w:t>
            </w:r>
          </w:p>
        </w:tc>
        <w:tc>
          <w:tcPr>
            <w:tcW w:w="1203" w:type="dxa"/>
          </w:tcPr>
          <w:p w14:paraId="25645F59" w14:textId="0B350B23" w:rsidR="00AC532A" w:rsidRDefault="00AC532A" w:rsidP="003055C7">
            <w:r>
              <w:t>9.6.22</w:t>
            </w:r>
          </w:p>
        </w:tc>
        <w:tc>
          <w:tcPr>
            <w:tcW w:w="3543" w:type="dxa"/>
          </w:tcPr>
          <w:p w14:paraId="16AAAF34" w14:textId="705173C4" w:rsidR="00AC532A" w:rsidRDefault="00AC532A" w:rsidP="003055C7">
            <w:r>
              <w:t>Review date changed to June 2025</w:t>
            </w:r>
            <w:bookmarkStart w:id="0" w:name="_GoBack"/>
            <w:bookmarkEnd w:id="0"/>
          </w:p>
        </w:tc>
      </w:tr>
    </w:tbl>
    <w:p w14:paraId="59A673D0" w14:textId="77777777" w:rsidR="003055C7" w:rsidRDefault="003055C7" w:rsidP="003055C7">
      <w:pPr>
        <w:pStyle w:val="BodyText"/>
        <w:spacing w:before="4"/>
      </w:pPr>
    </w:p>
    <w:sectPr w:rsidR="003055C7" w:rsidSect="003055C7">
      <w:pgSz w:w="11920" w:h="16850"/>
      <w:pgMar w:top="1700" w:right="680" w:bottom="280" w:left="320" w:header="2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9880" w14:textId="77777777" w:rsidR="003613A2" w:rsidRDefault="00B763E3">
      <w:r>
        <w:separator/>
      </w:r>
    </w:p>
  </w:endnote>
  <w:endnote w:type="continuationSeparator" w:id="0">
    <w:p w14:paraId="49E95BA6" w14:textId="77777777" w:rsidR="003613A2" w:rsidRDefault="00B7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E018" w14:textId="77777777" w:rsidR="003613A2" w:rsidRDefault="00B763E3">
      <w:r>
        <w:separator/>
      </w:r>
    </w:p>
  </w:footnote>
  <w:footnote w:type="continuationSeparator" w:id="0">
    <w:p w14:paraId="4C7A8473" w14:textId="77777777" w:rsidR="003613A2" w:rsidRDefault="00B7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58CD" w14:textId="77777777" w:rsidR="004D1593" w:rsidRDefault="00B763E3">
    <w:pPr>
      <w:pStyle w:val="BodyText"/>
      <w:spacing w:line="14" w:lineRule="auto"/>
      <w:rPr>
        <w:sz w:val="20"/>
      </w:rPr>
    </w:pPr>
    <w:r>
      <w:rPr>
        <w:noProof/>
        <w:lang w:val="en-GB" w:eastAsia="en-GB"/>
      </w:rPr>
      <mc:AlternateContent>
        <mc:Choice Requires="wps">
          <w:drawing>
            <wp:anchor distT="0" distB="0" distL="114300" distR="114300" simplePos="0" relativeHeight="503310392" behindDoc="1" locked="0" layoutInCell="1" allowOverlap="1" wp14:anchorId="4A3FFB79" wp14:editId="139F2986">
              <wp:simplePos x="0" y="0"/>
              <wp:positionH relativeFrom="page">
                <wp:posOffset>276225</wp:posOffset>
              </wp:positionH>
              <wp:positionV relativeFrom="page">
                <wp:posOffset>181610</wp:posOffset>
              </wp:positionV>
              <wp:extent cx="2638425" cy="9048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32E1" id="Rectangle 2" o:spid="_x0000_s1026" style="position:absolute;margin-left:21.75pt;margin-top:14.3pt;width:207.75pt;height:71.2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" filled="f">
              <w10:wrap anchorx="page" anchory="page"/>
            </v:rect>
          </w:pict>
        </mc:Fallback>
      </mc:AlternateContent>
    </w:r>
    <w:r>
      <w:rPr>
        <w:noProof/>
        <w:lang w:val="en-GB" w:eastAsia="en-GB"/>
      </w:rPr>
      <mc:AlternateContent>
        <mc:Choice Requires="wps">
          <w:drawing>
            <wp:anchor distT="0" distB="0" distL="114300" distR="114300" simplePos="0" relativeHeight="503310416" behindDoc="1" locked="0" layoutInCell="1" allowOverlap="1" wp14:anchorId="5C08C7FA" wp14:editId="57ECBAE7">
              <wp:simplePos x="0" y="0"/>
              <wp:positionH relativeFrom="page">
                <wp:posOffset>359410</wp:posOffset>
              </wp:positionH>
              <wp:positionV relativeFrom="page">
                <wp:posOffset>252730</wp:posOffset>
              </wp:positionV>
              <wp:extent cx="1931035" cy="74358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2D2A" w14:textId="77777777" w:rsidR="004D1593" w:rsidRDefault="00B763E3">
                          <w:pPr>
                            <w:spacing w:line="245" w:lineRule="exact"/>
                            <w:ind w:left="20"/>
                            <w:rPr>
                              <w:rFonts w:ascii="Calibri"/>
                              <w:b/>
                            </w:rPr>
                          </w:pPr>
                          <w:r>
                            <w:rPr>
                              <w:rFonts w:ascii="Calibri"/>
                              <w:b/>
                            </w:rPr>
                            <w:t>Policy Category:</w:t>
                          </w:r>
                        </w:p>
                        <w:p w14:paraId="180D8A3D" w14:textId="77777777" w:rsidR="004D1593" w:rsidRDefault="00B763E3">
                          <w:pPr>
                            <w:spacing w:before="26"/>
                            <w:ind w:left="20"/>
                            <w:rPr>
                              <w:rFonts w:ascii="Calibri"/>
                              <w:b/>
                            </w:rPr>
                          </w:pPr>
                          <w:r>
                            <w:rPr>
                              <w:rFonts w:ascii="Calibri"/>
                              <w:b/>
                              <w:color w:val="FF0000"/>
                            </w:rPr>
                            <w:t>INNF</w:t>
                          </w:r>
                        </w:p>
                        <w:p w14:paraId="5A7D01E0" w14:textId="77777777" w:rsidR="004D1593" w:rsidRDefault="00B763E3">
                          <w:pPr>
                            <w:spacing w:before="38" w:line="273" w:lineRule="auto"/>
                            <w:ind w:left="20" w:right="2"/>
                            <w:rPr>
                              <w:rFonts w:ascii="Calibri"/>
                              <w:b/>
                            </w:rPr>
                          </w:pPr>
                          <w:r>
                            <w:rPr>
                              <w:rFonts w:ascii="Calibri"/>
                              <w:b/>
                            </w:rPr>
                            <w:t xml:space="preserve">Who usually applies for funding? </w:t>
                          </w:r>
                          <w:r>
                            <w:rPr>
                              <w:rFonts w:ascii="Calibri"/>
                              <w:b/>
                              <w:color w:val="FF0000"/>
                            </w:rPr>
                            <w:t>GP/Consultant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8C7FA" id="_x0000_t202" coordsize="21600,21600" o:spt="202" path="m,l,21600r21600,l21600,xe">
              <v:stroke joinstyle="miter"/>
              <v:path gradientshapeok="t" o:connecttype="rect"/>
            </v:shapetype>
            <v:shape id="Text Box 1" o:spid="_x0000_s1037" type="#_x0000_t202" style="position:absolute;margin-left:28.3pt;margin-top:19.9pt;width:152.05pt;height:58.5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" filled="f" stroked="f">
              <v:textbox inset="0,0,0,0">
                <w:txbxContent>
                  <w:p w14:paraId="736C2D2A" w14:textId="77777777" w:rsidR="004D1593" w:rsidRDefault="00B763E3">
                    <w:pPr>
                      <w:spacing w:line="245" w:lineRule="exact"/>
                      <w:ind w:left="20"/>
                      <w:rPr>
                        <w:rFonts w:ascii="Calibri"/>
                        <w:b/>
                      </w:rPr>
                    </w:pPr>
                    <w:r>
                      <w:rPr>
                        <w:rFonts w:ascii="Calibri"/>
                        <w:b/>
                      </w:rPr>
                      <w:t>Policy Category:</w:t>
                    </w:r>
                  </w:p>
                  <w:p w14:paraId="180D8A3D" w14:textId="77777777" w:rsidR="004D1593" w:rsidRDefault="00B763E3">
                    <w:pPr>
                      <w:spacing w:before="26"/>
                      <w:ind w:left="20"/>
                      <w:rPr>
                        <w:rFonts w:ascii="Calibri"/>
                        <w:b/>
                      </w:rPr>
                    </w:pPr>
                    <w:r>
                      <w:rPr>
                        <w:rFonts w:ascii="Calibri"/>
                        <w:b/>
                        <w:color w:val="FF0000"/>
                      </w:rPr>
                      <w:t>INNF</w:t>
                    </w:r>
                  </w:p>
                  <w:p w14:paraId="5A7D01E0" w14:textId="77777777" w:rsidR="004D1593" w:rsidRDefault="00B763E3">
                    <w:pPr>
                      <w:spacing w:before="38" w:line="273" w:lineRule="auto"/>
                      <w:ind w:left="20" w:right="2"/>
                      <w:rPr>
                        <w:rFonts w:ascii="Calibri"/>
                        <w:b/>
                      </w:rPr>
                    </w:pPr>
                    <w:r>
                      <w:rPr>
                        <w:rFonts w:ascii="Calibri"/>
                        <w:b/>
                      </w:rPr>
                      <w:t xml:space="preserve">Who usually applies for funding? </w:t>
                    </w:r>
                    <w:r>
                      <w:rPr>
                        <w:rFonts w:ascii="Calibri"/>
                        <w:b/>
                        <w:color w:val="FF0000"/>
                      </w:rPr>
                      <w:t>GP/Consultant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3BD7"/>
    <w:multiLevelType w:val="hybridMultilevel"/>
    <w:tmpl w:val="C3B4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526D4"/>
    <w:multiLevelType w:val="hybridMultilevel"/>
    <w:tmpl w:val="AC943AD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5C5C0160"/>
    <w:multiLevelType w:val="hybridMultilevel"/>
    <w:tmpl w:val="D096A27C"/>
    <w:lvl w:ilvl="0" w:tplc="D94A9614">
      <w:numFmt w:val="bullet"/>
      <w:lvlText w:val=""/>
      <w:lvlJc w:val="left"/>
      <w:pPr>
        <w:ind w:left="599" w:hanging="360"/>
      </w:pPr>
      <w:rPr>
        <w:rFonts w:ascii="Symbol" w:eastAsia="Symbol" w:hAnsi="Symbol" w:cs="Symbol" w:hint="default"/>
        <w:w w:val="100"/>
        <w:sz w:val="22"/>
        <w:szCs w:val="22"/>
      </w:rPr>
    </w:lvl>
    <w:lvl w:ilvl="1" w:tplc="FCE46356">
      <w:numFmt w:val="bullet"/>
      <w:lvlText w:val="•"/>
      <w:lvlJc w:val="left"/>
      <w:pPr>
        <w:ind w:left="1438" w:hanging="360"/>
      </w:pPr>
      <w:rPr>
        <w:rFonts w:hint="default"/>
      </w:rPr>
    </w:lvl>
    <w:lvl w:ilvl="2" w:tplc="3EEEB3A4">
      <w:numFmt w:val="bullet"/>
      <w:lvlText w:val="•"/>
      <w:lvlJc w:val="left"/>
      <w:pPr>
        <w:ind w:left="2276" w:hanging="360"/>
      </w:pPr>
      <w:rPr>
        <w:rFonts w:hint="default"/>
      </w:rPr>
    </w:lvl>
    <w:lvl w:ilvl="3" w:tplc="4532FABA">
      <w:numFmt w:val="bullet"/>
      <w:lvlText w:val="•"/>
      <w:lvlJc w:val="left"/>
      <w:pPr>
        <w:ind w:left="3115" w:hanging="360"/>
      </w:pPr>
      <w:rPr>
        <w:rFonts w:hint="default"/>
      </w:rPr>
    </w:lvl>
    <w:lvl w:ilvl="4" w:tplc="544C8212">
      <w:numFmt w:val="bullet"/>
      <w:lvlText w:val="•"/>
      <w:lvlJc w:val="left"/>
      <w:pPr>
        <w:ind w:left="3953" w:hanging="360"/>
      </w:pPr>
      <w:rPr>
        <w:rFonts w:hint="default"/>
      </w:rPr>
    </w:lvl>
    <w:lvl w:ilvl="5" w:tplc="8B7A4010">
      <w:numFmt w:val="bullet"/>
      <w:lvlText w:val="•"/>
      <w:lvlJc w:val="left"/>
      <w:pPr>
        <w:ind w:left="4791" w:hanging="360"/>
      </w:pPr>
      <w:rPr>
        <w:rFonts w:hint="default"/>
      </w:rPr>
    </w:lvl>
    <w:lvl w:ilvl="6" w:tplc="F7565B0C">
      <w:numFmt w:val="bullet"/>
      <w:lvlText w:val="•"/>
      <w:lvlJc w:val="left"/>
      <w:pPr>
        <w:ind w:left="5630" w:hanging="360"/>
      </w:pPr>
      <w:rPr>
        <w:rFonts w:hint="default"/>
      </w:rPr>
    </w:lvl>
    <w:lvl w:ilvl="7" w:tplc="3510FF82">
      <w:numFmt w:val="bullet"/>
      <w:lvlText w:val="•"/>
      <w:lvlJc w:val="left"/>
      <w:pPr>
        <w:ind w:left="6468" w:hanging="360"/>
      </w:pPr>
      <w:rPr>
        <w:rFonts w:hint="default"/>
      </w:rPr>
    </w:lvl>
    <w:lvl w:ilvl="8" w:tplc="B2389E14">
      <w:numFmt w:val="bullet"/>
      <w:lvlText w:val="•"/>
      <w:lvlJc w:val="left"/>
      <w:pPr>
        <w:ind w:left="730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93"/>
    <w:rsid w:val="00103B4A"/>
    <w:rsid w:val="00170A3F"/>
    <w:rsid w:val="00233EEC"/>
    <w:rsid w:val="003055C7"/>
    <w:rsid w:val="003613A2"/>
    <w:rsid w:val="004D1593"/>
    <w:rsid w:val="005164D4"/>
    <w:rsid w:val="008F0EF1"/>
    <w:rsid w:val="00AC532A"/>
    <w:rsid w:val="00B763E3"/>
    <w:rsid w:val="00C66BAC"/>
    <w:rsid w:val="00DC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C93C82"/>
  <w15:docId w15:val="{4A10A9B0-D025-4D9A-961B-9861948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6" w:lineRule="exact"/>
      <w:ind w:left="103"/>
    </w:pPr>
  </w:style>
  <w:style w:type="paragraph" w:styleId="BalloonText">
    <w:name w:val="Balloon Text"/>
    <w:basedOn w:val="Normal"/>
    <w:link w:val="BalloonTextChar"/>
    <w:uiPriority w:val="99"/>
    <w:semiHidden/>
    <w:unhideWhenUsed/>
    <w:rsid w:val="00C66BAC"/>
    <w:rPr>
      <w:rFonts w:ascii="Tahoma" w:hAnsi="Tahoma" w:cs="Tahoma"/>
      <w:sz w:val="16"/>
      <w:szCs w:val="16"/>
    </w:rPr>
  </w:style>
  <w:style w:type="character" w:customStyle="1" w:styleId="BalloonTextChar">
    <w:name w:val="Balloon Text Char"/>
    <w:basedOn w:val="DefaultParagraphFont"/>
    <w:link w:val="BalloonText"/>
    <w:uiPriority w:val="99"/>
    <w:semiHidden/>
    <w:rsid w:val="00C66BAC"/>
    <w:rPr>
      <w:rFonts w:ascii="Tahoma" w:eastAsia="Arial" w:hAnsi="Tahoma" w:cs="Tahoma"/>
      <w:sz w:val="16"/>
      <w:szCs w:val="16"/>
    </w:rPr>
  </w:style>
  <w:style w:type="table" w:styleId="TableGrid">
    <w:name w:val="Table Grid"/>
    <w:basedOn w:val="TableNormal"/>
    <w:uiPriority w:val="59"/>
    <w:rsid w:val="0030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LCCG.IFR@nhs.ne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7EE9-483F-43A5-824B-B4D5B0D7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2</cp:revision>
  <dcterms:created xsi:type="dcterms:W3CDTF">2022-06-15T10:05:00Z</dcterms:created>
  <dcterms:modified xsi:type="dcterms:W3CDTF">2022-06-15T10:05:00Z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2018-05-10T00:00:00Z</vt:filetime>
  </property>
</Properties>
</file>