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7F6F4" w14:textId="77777777" w:rsidR="009F19F3" w:rsidRDefault="009F19F3">
      <w:pPr>
        <w:rPr>
          <w:rFonts w:ascii="Arial" w:hAnsi="Arial" w:cs="Arial"/>
          <w:sz w:val="24"/>
          <w:szCs w:val="24"/>
        </w:rPr>
      </w:pPr>
      <w:r>
        <w:rPr>
          <w:noProof/>
          <w:lang w:eastAsia="en-GB"/>
        </w:rPr>
        <w:drawing>
          <wp:anchor distT="0" distB="0" distL="114300" distR="114300" simplePos="0" relativeHeight="251659264" behindDoc="1" locked="0" layoutInCell="1" allowOverlap="1" wp14:anchorId="47CD6E7D" wp14:editId="2F148568">
            <wp:simplePos x="0" y="0"/>
            <wp:positionH relativeFrom="column">
              <wp:posOffset>3623310</wp:posOffset>
            </wp:positionH>
            <wp:positionV relativeFrom="paragraph">
              <wp:posOffset>-839470</wp:posOffset>
            </wp:positionV>
            <wp:extent cx="2934335" cy="1012825"/>
            <wp:effectExtent l="0" t="0" r="0" b="0"/>
            <wp:wrapNone/>
            <wp:docPr id="1" name="Picture 1" descr="NHS_G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_GCC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4335" cy="1012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9B200" w14:textId="77777777" w:rsidR="00D637FB" w:rsidRPr="00930BFA" w:rsidRDefault="00D637FB" w:rsidP="00D637FB">
      <w:pPr>
        <w:pStyle w:val="BodyTextIndent"/>
        <w:spacing w:after="0"/>
        <w:ind w:left="0"/>
        <w:jc w:val="center"/>
        <w:rPr>
          <w:rFonts w:cs="Arial"/>
          <w:b/>
          <w:szCs w:val="24"/>
        </w:rPr>
      </w:pPr>
      <w:r w:rsidRPr="00930BFA">
        <w:rPr>
          <w:rFonts w:cs="Arial"/>
          <w:b/>
          <w:bCs/>
          <w:szCs w:val="24"/>
        </w:rPr>
        <w:t>Trigger finger surgery</w:t>
      </w:r>
    </w:p>
    <w:p w14:paraId="315E8F28" w14:textId="77777777" w:rsidR="009F19F3" w:rsidRDefault="009F19F3" w:rsidP="009F19F3">
      <w:pPr>
        <w:spacing w:after="0"/>
        <w:jc w:val="center"/>
        <w:rPr>
          <w:rFonts w:ascii="Arial" w:hAnsi="Arial" w:cs="Arial"/>
          <w:b/>
          <w:sz w:val="24"/>
          <w:szCs w:val="24"/>
        </w:rPr>
      </w:pPr>
    </w:p>
    <w:tbl>
      <w:tblPr>
        <w:tblStyle w:val="TableGrid"/>
        <w:tblW w:w="0" w:type="auto"/>
        <w:tblLook w:val="04A0" w:firstRow="1" w:lastRow="0" w:firstColumn="1" w:lastColumn="0" w:noHBand="0" w:noVBand="1"/>
      </w:tblPr>
      <w:tblGrid>
        <w:gridCol w:w="2093"/>
        <w:gridCol w:w="7149"/>
      </w:tblGrid>
      <w:tr w:rsidR="00732268" w14:paraId="543E156B" w14:textId="77777777" w:rsidTr="00732268">
        <w:tc>
          <w:tcPr>
            <w:tcW w:w="2093" w:type="dxa"/>
            <w:shd w:val="clear" w:color="auto" w:fill="D9D9D9" w:themeFill="background1" w:themeFillShade="D9"/>
          </w:tcPr>
          <w:p w14:paraId="13A6AD41" w14:textId="77777777" w:rsidR="00732268" w:rsidRPr="00237AFF" w:rsidRDefault="00732268" w:rsidP="009F19F3">
            <w:pPr>
              <w:rPr>
                <w:rFonts w:ascii="Arial" w:hAnsi="Arial" w:cs="Arial"/>
                <w:b/>
                <w:sz w:val="24"/>
                <w:szCs w:val="24"/>
              </w:rPr>
            </w:pPr>
            <w:r w:rsidRPr="00237AFF">
              <w:rPr>
                <w:rFonts w:ascii="Arial" w:hAnsi="Arial" w:cs="Arial"/>
                <w:b/>
                <w:sz w:val="24"/>
                <w:szCs w:val="24"/>
              </w:rPr>
              <w:t>Commissioning decision</w:t>
            </w:r>
          </w:p>
        </w:tc>
        <w:tc>
          <w:tcPr>
            <w:tcW w:w="7149" w:type="dxa"/>
          </w:tcPr>
          <w:p w14:paraId="7C51412B" w14:textId="77777777" w:rsidR="00732268" w:rsidRPr="00237AFF" w:rsidRDefault="00D637FB" w:rsidP="00237AFF">
            <w:pPr>
              <w:rPr>
                <w:rFonts w:ascii="Arial" w:hAnsi="Arial" w:cs="Arial"/>
                <w:b/>
                <w:sz w:val="24"/>
                <w:szCs w:val="24"/>
              </w:rPr>
            </w:pPr>
            <w:r w:rsidRPr="00237AFF">
              <w:rPr>
                <w:rFonts w:ascii="Arial" w:hAnsi="Arial" w:cs="Arial"/>
                <w:b/>
                <w:sz w:val="24"/>
                <w:szCs w:val="24"/>
              </w:rPr>
              <w:t xml:space="preserve">The CCG will provide funding for trigger finger surgery for patients who meet the criteria defined within this policy. </w:t>
            </w:r>
          </w:p>
        </w:tc>
      </w:tr>
    </w:tbl>
    <w:p w14:paraId="6CC87B04" w14:textId="77777777" w:rsidR="00732268" w:rsidRDefault="00732268" w:rsidP="009F19F3">
      <w:pPr>
        <w:spacing w:after="0"/>
        <w:rPr>
          <w:rFonts w:ascii="Arial" w:hAnsi="Arial" w:cs="Arial"/>
          <w:b/>
          <w:sz w:val="24"/>
          <w:szCs w:val="24"/>
        </w:rPr>
      </w:pPr>
    </w:p>
    <w:p w14:paraId="62243DCA" w14:textId="77777777" w:rsidR="009F19F3" w:rsidRDefault="009F19F3" w:rsidP="009F19F3">
      <w:pPr>
        <w:spacing w:after="0"/>
        <w:rPr>
          <w:rFonts w:ascii="Arial" w:hAnsi="Arial" w:cs="Arial"/>
          <w:b/>
          <w:sz w:val="24"/>
          <w:szCs w:val="24"/>
        </w:rPr>
      </w:pPr>
      <w:r>
        <w:rPr>
          <w:rFonts w:ascii="Arial" w:hAnsi="Arial" w:cs="Arial"/>
          <w:b/>
          <w:sz w:val="24"/>
          <w:szCs w:val="24"/>
        </w:rPr>
        <w:t>Policy Statement:</w:t>
      </w:r>
    </w:p>
    <w:tbl>
      <w:tblPr>
        <w:tblStyle w:val="TableGrid"/>
        <w:tblW w:w="0" w:type="auto"/>
        <w:tblLook w:val="04A0" w:firstRow="1" w:lastRow="0" w:firstColumn="1" w:lastColumn="0" w:noHBand="0" w:noVBand="1"/>
      </w:tblPr>
      <w:tblGrid>
        <w:gridCol w:w="9242"/>
      </w:tblGrid>
      <w:tr w:rsidR="009F19F3" w:rsidRPr="009F19F3" w14:paraId="281926FC" w14:textId="77777777" w:rsidTr="009F19F3">
        <w:tc>
          <w:tcPr>
            <w:tcW w:w="9242" w:type="dxa"/>
          </w:tcPr>
          <w:p w14:paraId="2363599B" w14:textId="77777777" w:rsidR="00491DA4" w:rsidRPr="00491DA4" w:rsidRDefault="00491DA4" w:rsidP="00491DA4">
            <w:pPr>
              <w:pStyle w:val="Default"/>
              <w:rPr>
                <w:sz w:val="22"/>
                <w:szCs w:val="22"/>
              </w:rPr>
            </w:pPr>
            <w:r w:rsidRPr="00491DA4">
              <w:rPr>
                <w:sz w:val="22"/>
                <w:szCs w:val="22"/>
              </w:rPr>
              <w:t>Conservative measures should always be the first line of treatment, however, surgery will be commissioned for patients diagnosed with trigger finger in the following circumstances for patients whose trigger finger causes significant loss of function:</w:t>
            </w:r>
          </w:p>
          <w:p w14:paraId="35716660" w14:textId="77777777" w:rsidR="00491DA4" w:rsidRPr="00491DA4" w:rsidRDefault="00491DA4" w:rsidP="00491DA4">
            <w:pPr>
              <w:pStyle w:val="Default"/>
              <w:rPr>
                <w:sz w:val="22"/>
                <w:szCs w:val="22"/>
              </w:rPr>
            </w:pPr>
            <w:r w:rsidRPr="00491DA4">
              <w:rPr>
                <w:sz w:val="22"/>
                <w:szCs w:val="22"/>
              </w:rPr>
              <w:t xml:space="preserve"> </w:t>
            </w:r>
          </w:p>
          <w:p w14:paraId="5A714D43" w14:textId="77777777" w:rsidR="00491DA4" w:rsidRPr="00491DA4" w:rsidRDefault="00491DA4" w:rsidP="00491DA4">
            <w:pPr>
              <w:pStyle w:val="Default"/>
              <w:numPr>
                <w:ilvl w:val="0"/>
                <w:numId w:val="2"/>
              </w:numPr>
              <w:rPr>
                <w:rFonts w:cs="Times New Roman"/>
                <w:color w:val="auto"/>
                <w:sz w:val="22"/>
                <w:szCs w:val="22"/>
              </w:rPr>
            </w:pPr>
            <w:r w:rsidRPr="00491DA4">
              <w:rPr>
                <w:rFonts w:cs="Times New Roman"/>
                <w:bCs/>
                <w:color w:val="auto"/>
                <w:sz w:val="22"/>
                <w:szCs w:val="22"/>
              </w:rPr>
              <w:t xml:space="preserve">for patients who fail to respond to conservative treatment, including no lasting response following  one corticosteroid injection, or two corticosteroid injections if only modest, transient benefit is achieved </w:t>
            </w:r>
          </w:p>
          <w:p w14:paraId="47ADDBC1" w14:textId="77777777" w:rsidR="00491DA4" w:rsidRPr="00491DA4" w:rsidRDefault="00491DA4" w:rsidP="00491DA4">
            <w:pPr>
              <w:pStyle w:val="Default"/>
              <w:ind w:left="60" w:firstLine="300"/>
              <w:rPr>
                <w:rFonts w:cs="Times New Roman"/>
                <w:b/>
                <w:bCs/>
                <w:color w:val="auto"/>
                <w:sz w:val="22"/>
                <w:szCs w:val="22"/>
              </w:rPr>
            </w:pPr>
            <w:r w:rsidRPr="00491DA4">
              <w:rPr>
                <w:rFonts w:cs="Times New Roman"/>
                <w:b/>
                <w:bCs/>
                <w:color w:val="auto"/>
                <w:sz w:val="22"/>
                <w:szCs w:val="22"/>
              </w:rPr>
              <w:t xml:space="preserve">OR </w:t>
            </w:r>
          </w:p>
          <w:p w14:paraId="73D461D6" w14:textId="77777777" w:rsidR="00491DA4" w:rsidRPr="00491DA4" w:rsidRDefault="00491DA4" w:rsidP="00491DA4">
            <w:pPr>
              <w:pStyle w:val="Default"/>
              <w:widowControl w:val="0"/>
              <w:numPr>
                <w:ilvl w:val="0"/>
                <w:numId w:val="2"/>
              </w:numPr>
              <w:rPr>
                <w:rFonts w:cs="Times New Roman"/>
                <w:bCs/>
                <w:color w:val="auto"/>
                <w:sz w:val="22"/>
                <w:szCs w:val="22"/>
              </w:rPr>
            </w:pPr>
            <w:r w:rsidRPr="00491DA4">
              <w:rPr>
                <w:rFonts w:cs="Times New Roman"/>
                <w:bCs/>
                <w:color w:val="auto"/>
                <w:sz w:val="22"/>
                <w:szCs w:val="22"/>
              </w:rPr>
              <w:t>for patients who have a fixed flexion deformity that cannot be corrected conservatively.</w:t>
            </w:r>
          </w:p>
          <w:p w14:paraId="35BA5012" w14:textId="77777777" w:rsidR="00B16DD9" w:rsidRDefault="00B16DD9" w:rsidP="00491DA4">
            <w:pPr>
              <w:pStyle w:val="Default"/>
              <w:spacing w:line="276" w:lineRule="atLeast"/>
              <w:ind w:right="495"/>
              <w:rPr>
                <w:color w:val="auto"/>
              </w:rPr>
            </w:pPr>
          </w:p>
          <w:p w14:paraId="479E89CC" w14:textId="77777777" w:rsidR="009F19F3" w:rsidRPr="00B16DD9" w:rsidRDefault="00B16DD9" w:rsidP="00491DA4">
            <w:pPr>
              <w:pStyle w:val="Default"/>
              <w:spacing w:line="276" w:lineRule="atLeast"/>
              <w:ind w:right="495"/>
              <w:rPr>
                <w:color w:val="auto"/>
                <w:sz w:val="22"/>
                <w:szCs w:val="22"/>
              </w:rPr>
            </w:pPr>
            <w:r w:rsidRPr="00B16DD9">
              <w:rPr>
                <w:color w:val="auto"/>
                <w:sz w:val="22"/>
                <w:szCs w:val="22"/>
              </w:rPr>
              <w:t>Children</w:t>
            </w:r>
            <w:r w:rsidR="00747C2F">
              <w:rPr>
                <w:color w:val="auto"/>
                <w:sz w:val="22"/>
                <w:szCs w:val="22"/>
              </w:rPr>
              <w:t>,</w:t>
            </w:r>
            <w:r w:rsidRPr="00B16DD9">
              <w:rPr>
                <w:color w:val="auto"/>
                <w:sz w:val="22"/>
                <w:szCs w:val="22"/>
              </w:rPr>
              <w:t xml:space="preserve"> up to age 18</w:t>
            </w:r>
            <w:r w:rsidR="00747C2F">
              <w:rPr>
                <w:color w:val="auto"/>
                <w:sz w:val="22"/>
                <w:szCs w:val="22"/>
              </w:rPr>
              <w:t>,</w:t>
            </w:r>
            <w:r w:rsidRPr="00B16DD9">
              <w:rPr>
                <w:color w:val="auto"/>
                <w:sz w:val="22"/>
                <w:szCs w:val="22"/>
              </w:rPr>
              <w:t xml:space="preserve"> with trigger thumb will be routinely funded and are excluded from the criteria above.</w:t>
            </w:r>
          </w:p>
        </w:tc>
      </w:tr>
    </w:tbl>
    <w:p w14:paraId="67F95D26" w14:textId="77777777" w:rsidR="009F19F3" w:rsidRDefault="009F19F3" w:rsidP="009F19F3">
      <w:pPr>
        <w:spacing w:after="0"/>
        <w:rPr>
          <w:rFonts w:ascii="Arial" w:hAnsi="Arial" w:cs="Arial"/>
          <w:b/>
          <w:sz w:val="24"/>
          <w:szCs w:val="24"/>
        </w:rPr>
      </w:pPr>
    </w:p>
    <w:p w14:paraId="64775F35" w14:textId="77777777" w:rsidR="009F19F3" w:rsidRDefault="009F19F3" w:rsidP="009F19F3">
      <w:pPr>
        <w:spacing w:after="0"/>
        <w:rPr>
          <w:rFonts w:ascii="Arial" w:hAnsi="Arial" w:cs="Arial"/>
          <w:b/>
          <w:sz w:val="24"/>
          <w:szCs w:val="24"/>
        </w:rPr>
      </w:pPr>
      <w:r>
        <w:rPr>
          <w:rFonts w:ascii="Arial" w:hAnsi="Arial" w:cs="Arial"/>
          <w:b/>
          <w:sz w:val="24"/>
          <w:szCs w:val="24"/>
        </w:rPr>
        <w:t>Rationale:</w:t>
      </w:r>
    </w:p>
    <w:tbl>
      <w:tblPr>
        <w:tblStyle w:val="TableGrid"/>
        <w:tblW w:w="0" w:type="auto"/>
        <w:tblLook w:val="04A0" w:firstRow="1" w:lastRow="0" w:firstColumn="1" w:lastColumn="0" w:noHBand="0" w:noVBand="1"/>
      </w:tblPr>
      <w:tblGrid>
        <w:gridCol w:w="9242"/>
      </w:tblGrid>
      <w:tr w:rsidR="009F19F3" w:rsidRPr="009F19F3" w14:paraId="57A9F769" w14:textId="77777777" w:rsidTr="009F19F3">
        <w:tc>
          <w:tcPr>
            <w:tcW w:w="9242" w:type="dxa"/>
          </w:tcPr>
          <w:p w14:paraId="528C5D61" w14:textId="77777777" w:rsidR="00D637FB" w:rsidRDefault="00D637FB" w:rsidP="00D637FB">
            <w:pPr>
              <w:pStyle w:val="Default"/>
            </w:pPr>
            <w:r>
              <w:rPr>
                <w:sz w:val="22"/>
                <w:szCs w:val="22"/>
              </w:rPr>
              <w:t xml:space="preserve">Trigger finger is a "snapping" condition of any of the digits of the hand when opened or closed. Trigger finger is medically termed stenosing tenosynovitis. Management should be in accordance with British Society for Surgery of the Hand (BSSH) recommendations. </w:t>
            </w:r>
          </w:p>
          <w:p w14:paraId="6DE72601" w14:textId="77777777" w:rsidR="009F19F3" w:rsidRPr="009F19F3" w:rsidRDefault="009F19F3" w:rsidP="00605CC3">
            <w:pPr>
              <w:pStyle w:val="Default"/>
            </w:pPr>
          </w:p>
        </w:tc>
      </w:tr>
    </w:tbl>
    <w:p w14:paraId="2E856B82" w14:textId="77777777" w:rsidR="009F19F3" w:rsidRDefault="009F19F3" w:rsidP="009F19F3">
      <w:pPr>
        <w:spacing w:after="0"/>
        <w:rPr>
          <w:rFonts w:ascii="Arial" w:hAnsi="Arial" w:cs="Arial"/>
          <w:b/>
          <w:sz w:val="24"/>
          <w:szCs w:val="24"/>
        </w:rPr>
      </w:pPr>
    </w:p>
    <w:p w14:paraId="4F7A3770" w14:textId="77777777" w:rsidR="00732268" w:rsidRDefault="00732268" w:rsidP="009F19F3">
      <w:pPr>
        <w:spacing w:after="0"/>
        <w:rPr>
          <w:rFonts w:ascii="Arial" w:hAnsi="Arial" w:cs="Arial"/>
          <w:b/>
          <w:sz w:val="24"/>
          <w:szCs w:val="24"/>
        </w:rPr>
      </w:pPr>
      <w:r>
        <w:rPr>
          <w:rFonts w:ascii="Arial" w:hAnsi="Arial" w:cs="Arial"/>
          <w:b/>
          <w:sz w:val="24"/>
          <w:szCs w:val="24"/>
        </w:rPr>
        <w:t>Plain English Summary:</w:t>
      </w:r>
    </w:p>
    <w:tbl>
      <w:tblPr>
        <w:tblStyle w:val="TableGrid"/>
        <w:tblW w:w="0" w:type="auto"/>
        <w:tblLook w:val="04A0" w:firstRow="1" w:lastRow="0" w:firstColumn="1" w:lastColumn="0" w:noHBand="0" w:noVBand="1"/>
      </w:tblPr>
      <w:tblGrid>
        <w:gridCol w:w="9242"/>
      </w:tblGrid>
      <w:tr w:rsidR="00732268" w14:paraId="5484A7D5" w14:textId="77777777" w:rsidTr="00732268">
        <w:tc>
          <w:tcPr>
            <w:tcW w:w="9242" w:type="dxa"/>
          </w:tcPr>
          <w:p w14:paraId="1EAD9C08" w14:textId="77777777" w:rsidR="002D40C0" w:rsidRDefault="002D40C0" w:rsidP="002D40C0">
            <w:pPr>
              <w:pStyle w:val="NormalWeb"/>
              <w:spacing w:before="0" w:beforeAutospacing="0" w:after="0" w:afterAutospacing="0"/>
              <w:rPr>
                <w:rFonts w:ascii="Arial" w:hAnsi="Arial" w:cs="Arial"/>
                <w:b/>
                <w:sz w:val="22"/>
                <w:szCs w:val="22"/>
                <w:lang w:val="en"/>
              </w:rPr>
            </w:pPr>
            <w:r w:rsidRPr="002D40C0">
              <w:rPr>
                <w:rStyle w:val="Strong"/>
                <w:rFonts w:ascii="Arial" w:hAnsi="Arial" w:cs="Arial"/>
                <w:b w:val="0"/>
                <w:sz w:val="22"/>
                <w:szCs w:val="22"/>
                <w:lang w:val="en"/>
              </w:rPr>
              <w:t>Trigger finger is a condition that affects the tendons in the hand. When the affected finger or thumb is bent towards the palm, the tendon gets stuck and the finger clicks or locks.</w:t>
            </w:r>
            <w:r>
              <w:rPr>
                <w:rFonts w:ascii="Arial" w:hAnsi="Arial" w:cs="Arial"/>
                <w:b/>
                <w:sz w:val="22"/>
                <w:szCs w:val="22"/>
                <w:lang w:val="en"/>
              </w:rPr>
              <w:t xml:space="preserve"> </w:t>
            </w:r>
            <w:r>
              <w:rPr>
                <w:rFonts w:ascii="Arial" w:hAnsi="Arial" w:cs="Arial"/>
                <w:sz w:val="22"/>
                <w:szCs w:val="22"/>
                <w:lang w:val="en"/>
              </w:rPr>
              <w:t>It i</w:t>
            </w:r>
            <w:r w:rsidRPr="002D40C0">
              <w:rPr>
                <w:rFonts w:ascii="Arial" w:hAnsi="Arial" w:cs="Arial"/>
                <w:sz w:val="22"/>
                <w:szCs w:val="22"/>
                <w:lang w:val="en"/>
              </w:rPr>
              <w:t xml:space="preserve">s also known as stenosing tenosynovitis or stenosing </w:t>
            </w:r>
            <w:proofErr w:type="spellStart"/>
            <w:r w:rsidRPr="002D40C0">
              <w:rPr>
                <w:rFonts w:ascii="Arial" w:hAnsi="Arial" w:cs="Arial"/>
                <w:sz w:val="22"/>
                <w:szCs w:val="22"/>
                <w:lang w:val="en"/>
              </w:rPr>
              <w:t>tenovaginosis</w:t>
            </w:r>
            <w:proofErr w:type="spellEnd"/>
            <w:r w:rsidRPr="002D40C0">
              <w:rPr>
                <w:rFonts w:ascii="Arial" w:hAnsi="Arial" w:cs="Arial"/>
                <w:sz w:val="22"/>
                <w:szCs w:val="22"/>
                <w:lang w:val="en"/>
              </w:rPr>
              <w:t>.</w:t>
            </w:r>
          </w:p>
          <w:p w14:paraId="0547984E" w14:textId="77777777" w:rsidR="002D40C0" w:rsidRDefault="002D40C0" w:rsidP="002D40C0">
            <w:pPr>
              <w:pStyle w:val="NormalWeb"/>
              <w:spacing w:before="0" w:beforeAutospacing="0" w:after="0" w:afterAutospacing="0"/>
              <w:rPr>
                <w:rFonts w:ascii="Arial" w:hAnsi="Arial" w:cs="Arial"/>
                <w:b/>
                <w:sz w:val="22"/>
                <w:szCs w:val="22"/>
                <w:lang w:val="en"/>
              </w:rPr>
            </w:pPr>
          </w:p>
          <w:p w14:paraId="26AAA10F" w14:textId="77777777" w:rsidR="002D40C0" w:rsidRPr="002D40C0" w:rsidRDefault="002D40C0" w:rsidP="002D40C0">
            <w:pPr>
              <w:pStyle w:val="NormalWeb"/>
              <w:spacing w:before="0" w:beforeAutospacing="0" w:after="0" w:afterAutospacing="0"/>
              <w:rPr>
                <w:rFonts w:ascii="Arial" w:hAnsi="Arial" w:cs="Arial"/>
                <w:b/>
                <w:sz w:val="22"/>
                <w:szCs w:val="22"/>
                <w:lang w:val="en"/>
              </w:rPr>
            </w:pPr>
            <w:r w:rsidRPr="002D40C0">
              <w:rPr>
                <w:rFonts w:ascii="Arial" w:hAnsi="Arial" w:cs="Arial"/>
                <w:sz w:val="22"/>
                <w:szCs w:val="22"/>
                <w:lang w:val="en"/>
              </w:rPr>
              <w:t>Trigger finger can affect one or more fingers. The symptoms can include pain, stiffness, clicking and a small lump in the palm at the base of the affected finger or thumb (known as a nodule).</w:t>
            </w:r>
          </w:p>
          <w:p w14:paraId="7AF1832E" w14:textId="77777777" w:rsidR="002D40C0" w:rsidRDefault="002D40C0" w:rsidP="002D40C0">
            <w:pPr>
              <w:pStyle w:val="NormalWeb"/>
              <w:spacing w:before="0" w:beforeAutospacing="0" w:after="0" w:afterAutospacing="0"/>
              <w:rPr>
                <w:rFonts w:ascii="Arial" w:hAnsi="Arial" w:cs="Arial"/>
                <w:sz w:val="22"/>
                <w:szCs w:val="22"/>
                <w:lang w:val="en"/>
              </w:rPr>
            </w:pPr>
          </w:p>
          <w:p w14:paraId="1E426789" w14:textId="77777777" w:rsidR="002D40C0" w:rsidRPr="002D40C0" w:rsidRDefault="002D40C0" w:rsidP="002D40C0">
            <w:pPr>
              <w:pStyle w:val="NormalWeb"/>
              <w:spacing w:before="0" w:beforeAutospacing="0" w:after="0" w:afterAutospacing="0"/>
              <w:rPr>
                <w:rFonts w:ascii="Arial" w:hAnsi="Arial" w:cs="Arial"/>
                <w:sz w:val="22"/>
                <w:szCs w:val="22"/>
                <w:lang w:val="en"/>
              </w:rPr>
            </w:pPr>
            <w:r w:rsidRPr="002D40C0">
              <w:rPr>
                <w:rFonts w:ascii="Arial" w:hAnsi="Arial" w:cs="Arial"/>
                <w:sz w:val="22"/>
                <w:szCs w:val="22"/>
                <w:lang w:val="en"/>
              </w:rPr>
              <w:t xml:space="preserve">Trigger finger occurs if there is a problem with the tendon or sheath, such as swelling, which means the tendon can no longer slide easily through the sheath and it can become bunched up to form the nodule. This makes it harder to bend the affected finger or thumb. If the tendon gets caught in the opening of the sheath, the finger can click painfully as it is </w:t>
            </w:r>
            <w:r w:rsidR="00BA4370" w:rsidRPr="002D40C0">
              <w:rPr>
                <w:rFonts w:ascii="Arial" w:hAnsi="Arial" w:cs="Arial"/>
                <w:sz w:val="22"/>
                <w:szCs w:val="22"/>
                <w:lang w:val="en"/>
              </w:rPr>
              <w:t>straightened. The</w:t>
            </w:r>
            <w:r w:rsidRPr="002D40C0">
              <w:rPr>
                <w:rFonts w:ascii="Arial" w:hAnsi="Arial" w:cs="Arial"/>
                <w:sz w:val="22"/>
                <w:szCs w:val="22"/>
                <w:lang w:val="en"/>
              </w:rPr>
              <w:t xml:space="preserve"> exact reason why these problems develop is not known, but several things may increase the likelihood of trigger finger developing. For example, it is more common in women, people who are over 40 years of age, and people with certain medical conditions.</w:t>
            </w:r>
          </w:p>
          <w:p w14:paraId="748AB4EE" w14:textId="77777777" w:rsidR="002D40C0" w:rsidRDefault="002D40C0" w:rsidP="002D40C0">
            <w:pPr>
              <w:pStyle w:val="NormalWeb"/>
              <w:spacing w:before="0" w:beforeAutospacing="0" w:after="0" w:afterAutospacing="0"/>
              <w:rPr>
                <w:rFonts w:ascii="Arial" w:hAnsi="Arial" w:cs="Arial"/>
                <w:sz w:val="22"/>
                <w:szCs w:val="22"/>
                <w:lang w:val="en"/>
              </w:rPr>
            </w:pPr>
          </w:p>
          <w:p w14:paraId="084BF737" w14:textId="77777777" w:rsidR="002D40C0" w:rsidRPr="002D40C0" w:rsidRDefault="002D40C0" w:rsidP="002D40C0">
            <w:pPr>
              <w:pStyle w:val="NormalWeb"/>
              <w:spacing w:before="0" w:beforeAutospacing="0" w:after="0" w:afterAutospacing="0"/>
              <w:rPr>
                <w:rFonts w:ascii="Arial" w:hAnsi="Arial" w:cs="Arial"/>
                <w:sz w:val="22"/>
                <w:szCs w:val="22"/>
                <w:lang w:val="en"/>
              </w:rPr>
            </w:pPr>
            <w:r w:rsidRPr="002D40C0">
              <w:rPr>
                <w:rFonts w:ascii="Arial" w:hAnsi="Arial" w:cs="Arial"/>
                <w:sz w:val="22"/>
                <w:szCs w:val="22"/>
                <w:lang w:val="en"/>
              </w:rPr>
              <w:t>In some people, trigger finger may get better without treatment. However, there is a chance that the affected finger or thumb could become permanently bent if not treated, which will make performing everyday tasks difficult. If treatment is necessary, several different options are available, including</w:t>
            </w:r>
          </w:p>
          <w:p w14:paraId="6557AA0E" w14:textId="77777777" w:rsidR="002D40C0" w:rsidRPr="002D40C0" w:rsidRDefault="002D40C0" w:rsidP="002D40C0">
            <w:pPr>
              <w:numPr>
                <w:ilvl w:val="0"/>
                <w:numId w:val="4"/>
              </w:numPr>
              <w:rPr>
                <w:rFonts w:ascii="Arial" w:hAnsi="Arial" w:cs="Arial"/>
                <w:lang w:val="en"/>
              </w:rPr>
            </w:pPr>
            <w:r w:rsidRPr="002D40C0">
              <w:rPr>
                <w:rStyle w:val="Strong"/>
                <w:rFonts w:ascii="Arial" w:hAnsi="Arial" w:cs="Arial"/>
                <w:b w:val="0"/>
                <w:lang w:val="en"/>
              </w:rPr>
              <w:t>Rest and medication</w:t>
            </w:r>
            <w:r w:rsidRPr="002D40C0">
              <w:rPr>
                <w:rFonts w:ascii="Arial" w:hAnsi="Arial" w:cs="Arial"/>
                <w:lang w:val="en"/>
              </w:rPr>
              <w:t> – avoiding certain activities and taking non-steroidal anti-</w:t>
            </w:r>
            <w:r w:rsidRPr="002D40C0">
              <w:rPr>
                <w:rFonts w:ascii="Arial" w:hAnsi="Arial" w:cs="Arial"/>
                <w:lang w:val="en"/>
              </w:rPr>
              <w:lastRenderedPageBreak/>
              <w:t xml:space="preserve">inflammatory drugs (NSAIDs) may help relieve pain. </w:t>
            </w:r>
          </w:p>
          <w:p w14:paraId="6F23DA50" w14:textId="77777777" w:rsidR="002D40C0" w:rsidRPr="002D40C0" w:rsidRDefault="002D40C0" w:rsidP="002D40C0">
            <w:pPr>
              <w:numPr>
                <w:ilvl w:val="0"/>
                <w:numId w:val="4"/>
              </w:numPr>
              <w:rPr>
                <w:rFonts w:ascii="Arial" w:hAnsi="Arial" w:cs="Arial"/>
                <w:lang w:val="en"/>
              </w:rPr>
            </w:pPr>
            <w:r w:rsidRPr="002D40C0">
              <w:rPr>
                <w:rStyle w:val="Strong"/>
                <w:rFonts w:ascii="Arial" w:hAnsi="Arial" w:cs="Arial"/>
                <w:b w:val="0"/>
                <w:lang w:val="en"/>
              </w:rPr>
              <w:t>Splinting</w:t>
            </w:r>
            <w:r w:rsidRPr="002D40C0">
              <w:rPr>
                <w:rFonts w:ascii="Arial" w:hAnsi="Arial" w:cs="Arial"/>
                <w:lang w:val="en"/>
              </w:rPr>
              <w:t xml:space="preserve"> – this involves strapping the affected finger to a plastic splint to help ease your symptoms. </w:t>
            </w:r>
          </w:p>
          <w:p w14:paraId="4D7B193C" w14:textId="77777777" w:rsidR="002D40C0" w:rsidRPr="002D40C0" w:rsidRDefault="002D40C0" w:rsidP="002D40C0">
            <w:pPr>
              <w:numPr>
                <w:ilvl w:val="0"/>
                <w:numId w:val="4"/>
              </w:numPr>
              <w:rPr>
                <w:rFonts w:ascii="Arial" w:hAnsi="Arial" w:cs="Arial"/>
                <w:lang w:val="en"/>
              </w:rPr>
            </w:pPr>
            <w:r w:rsidRPr="002D40C0">
              <w:rPr>
                <w:rStyle w:val="Strong"/>
                <w:rFonts w:ascii="Arial" w:hAnsi="Arial" w:cs="Arial"/>
                <w:b w:val="0"/>
                <w:lang w:val="en"/>
              </w:rPr>
              <w:t>Corticosteroid</w:t>
            </w:r>
            <w:r w:rsidRPr="002D40C0">
              <w:rPr>
                <w:rStyle w:val="Strong"/>
                <w:rFonts w:ascii="Arial" w:hAnsi="Arial" w:cs="Arial"/>
                <w:lang w:val="en"/>
              </w:rPr>
              <w:t> </w:t>
            </w:r>
            <w:r w:rsidRPr="002D40C0">
              <w:rPr>
                <w:rStyle w:val="Strong"/>
                <w:rFonts w:ascii="Arial" w:hAnsi="Arial" w:cs="Arial"/>
                <w:b w:val="0"/>
                <w:lang w:val="en"/>
              </w:rPr>
              <w:t>injections</w:t>
            </w:r>
            <w:r w:rsidRPr="002D40C0">
              <w:rPr>
                <w:rFonts w:ascii="Arial" w:hAnsi="Arial" w:cs="Arial"/>
                <w:lang w:val="en"/>
              </w:rPr>
              <w:t xml:space="preserve"> – steroids are medicines that may be used to reduce swelling. </w:t>
            </w:r>
          </w:p>
          <w:p w14:paraId="0683FB7A" w14:textId="77777777" w:rsidR="002D40C0" w:rsidRPr="002D40C0" w:rsidRDefault="002D40C0" w:rsidP="002D40C0">
            <w:pPr>
              <w:numPr>
                <w:ilvl w:val="0"/>
                <w:numId w:val="4"/>
              </w:numPr>
              <w:rPr>
                <w:rFonts w:ascii="Arial" w:hAnsi="Arial" w:cs="Arial"/>
                <w:lang w:val="en"/>
              </w:rPr>
            </w:pPr>
            <w:r w:rsidRPr="002D40C0">
              <w:rPr>
                <w:rStyle w:val="Strong"/>
                <w:rFonts w:ascii="Arial" w:hAnsi="Arial" w:cs="Arial"/>
                <w:b w:val="0"/>
                <w:lang w:val="en"/>
              </w:rPr>
              <w:t>Surgery on the affected sheath</w:t>
            </w:r>
            <w:r w:rsidRPr="002D40C0">
              <w:rPr>
                <w:rFonts w:ascii="Arial" w:hAnsi="Arial" w:cs="Arial"/>
                <w:lang w:val="en"/>
              </w:rPr>
              <w:t xml:space="preserve"> – surgery involves releasing the affected sheath to allow the tendon to move freely again. This is a relatively minor procedure </w:t>
            </w:r>
            <w:r>
              <w:rPr>
                <w:rFonts w:ascii="Arial" w:hAnsi="Arial" w:cs="Arial"/>
                <w:lang w:val="en"/>
              </w:rPr>
              <w:t xml:space="preserve">is </w:t>
            </w:r>
            <w:r w:rsidRPr="002D40C0">
              <w:rPr>
                <w:rFonts w:ascii="Arial" w:hAnsi="Arial" w:cs="Arial"/>
                <w:lang w:val="en"/>
              </w:rPr>
              <w:t>generally used when other treatments have failed.</w:t>
            </w:r>
          </w:p>
          <w:p w14:paraId="10532149" w14:textId="77777777" w:rsidR="00A92511" w:rsidRDefault="00A92511" w:rsidP="00A92511">
            <w:pPr>
              <w:ind w:left="360"/>
              <w:rPr>
                <w:rFonts w:ascii="Arial" w:hAnsi="Arial" w:cs="Arial"/>
                <w:lang w:val="en"/>
              </w:rPr>
            </w:pPr>
          </w:p>
          <w:p w14:paraId="60309634" w14:textId="77777777" w:rsidR="00A92511" w:rsidRPr="00A92511" w:rsidRDefault="00A92511" w:rsidP="00A92511">
            <w:pPr>
              <w:ind w:left="360"/>
              <w:rPr>
                <w:rFonts w:ascii="Arial" w:hAnsi="Arial" w:cs="Arial"/>
                <w:lang w:val="en"/>
              </w:rPr>
            </w:pPr>
            <w:r w:rsidRPr="00A92511">
              <w:rPr>
                <w:rFonts w:ascii="Arial" w:hAnsi="Arial" w:cs="Arial"/>
                <w:lang w:val="en"/>
              </w:rPr>
              <w:t>If your doctor believes that you meet the criteria set out in this policy the CCG will fund your treatment.</w:t>
            </w:r>
          </w:p>
          <w:p w14:paraId="42FF3AEE" w14:textId="77777777" w:rsidR="00732268" w:rsidRDefault="00732268" w:rsidP="00BA4370">
            <w:pPr>
              <w:pStyle w:val="NormalWeb"/>
              <w:spacing w:before="0" w:beforeAutospacing="0" w:after="0" w:afterAutospacing="0"/>
              <w:rPr>
                <w:rFonts w:ascii="Arial" w:hAnsi="Arial" w:cs="Arial"/>
                <w:b/>
              </w:rPr>
            </w:pPr>
          </w:p>
        </w:tc>
      </w:tr>
    </w:tbl>
    <w:p w14:paraId="00277B63" w14:textId="77777777" w:rsidR="00732268" w:rsidRDefault="00732268" w:rsidP="009F19F3">
      <w:pPr>
        <w:spacing w:after="0"/>
        <w:rPr>
          <w:rFonts w:ascii="Arial" w:hAnsi="Arial" w:cs="Arial"/>
          <w:b/>
          <w:sz w:val="24"/>
          <w:szCs w:val="24"/>
        </w:rPr>
      </w:pPr>
    </w:p>
    <w:p w14:paraId="05B532C0" w14:textId="77777777" w:rsidR="009F19F3" w:rsidRDefault="009F19F3" w:rsidP="009F19F3">
      <w:pPr>
        <w:spacing w:after="0"/>
        <w:rPr>
          <w:rFonts w:ascii="Arial" w:hAnsi="Arial" w:cs="Arial"/>
          <w:b/>
          <w:sz w:val="24"/>
          <w:szCs w:val="24"/>
        </w:rPr>
      </w:pPr>
      <w:r>
        <w:rPr>
          <w:rFonts w:ascii="Arial" w:hAnsi="Arial" w:cs="Arial"/>
          <w:b/>
          <w:sz w:val="24"/>
          <w:szCs w:val="24"/>
        </w:rPr>
        <w:t>Evidence base:</w:t>
      </w:r>
    </w:p>
    <w:tbl>
      <w:tblPr>
        <w:tblStyle w:val="TableGrid"/>
        <w:tblW w:w="0" w:type="auto"/>
        <w:tblLook w:val="04A0" w:firstRow="1" w:lastRow="0" w:firstColumn="1" w:lastColumn="0" w:noHBand="0" w:noVBand="1"/>
      </w:tblPr>
      <w:tblGrid>
        <w:gridCol w:w="9242"/>
      </w:tblGrid>
      <w:tr w:rsidR="009F19F3" w14:paraId="04BFC5F8" w14:textId="77777777" w:rsidTr="009F19F3">
        <w:tc>
          <w:tcPr>
            <w:tcW w:w="9242" w:type="dxa"/>
          </w:tcPr>
          <w:p w14:paraId="1368A28E" w14:textId="77777777" w:rsidR="009F19F3" w:rsidRDefault="00D637FB" w:rsidP="00D637FB">
            <w:pPr>
              <w:pStyle w:val="Default"/>
              <w:jc w:val="both"/>
              <w:rPr>
                <w:sz w:val="22"/>
                <w:szCs w:val="22"/>
              </w:rPr>
            </w:pPr>
            <w:r>
              <w:rPr>
                <w:sz w:val="22"/>
                <w:szCs w:val="22"/>
              </w:rPr>
              <w:t xml:space="preserve">BSSH (2011) BSSH Evidence for Surgical Treatment (BEST): Trigger Finger (Thumb) [Online] Available from: </w:t>
            </w:r>
          </w:p>
          <w:p w14:paraId="3030E948" w14:textId="77777777" w:rsidR="006F4D02" w:rsidRDefault="00CB4476" w:rsidP="006F4D02">
            <w:hyperlink r:id="rId9" w:history="1">
              <w:r w:rsidR="006F4D02">
                <w:rPr>
                  <w:rStyle w:val="Hyperlink"/>
                </w:rPr>
                <w:t>http://www.bssh.ac.uk/professionals/best_guidelines_on_trigger_fingers.aspx</w:t>
              </w:r>
            </w:hyperlink>
          </w:p>
          <w:p w14:paraId="5F722B96" w14:textId="77777777" w:rsidR="00D637FB" w:rsidRPr="00D637FB" w:rsidRDefault="00D637FB" w:rsidP="00D637FB">
            <w:pPr>
              <w:autoSpaceDE w:val="0"/>
              <w:autoSpaceDN w:val="0"/>
              <w:adjustRightInd w:val="0"/>
              <w:rPr>
                <w:rFonts w:ascii="Arial" w:hAnsi="Arial" w:cs="Arial"/>
                <w:color w:val="000000"/>
                <w:sz w:val="24"/>
                <w:szCs w:val="24"/>
              </w:rPr>
            </w:pPr>
          </w:p>
          <w:p w14:paraId="39FEF312" w14:textId="77777777" w:rsidR="00D637FB" w:rsidRPr="00D637FB" w:rsidRDefault="00D637FB" w:rsidP="00D637FB">
            <w:pPr>
              <w:pStyle w:val="Default"/>
              <w:jc w:val="both"/>
              <w:rPr>
                <w:rFonts w:eastAsiaTheme="minorHAnsi"/>
                <w:sz w:val="22"/>
                <w:szCs w:val="22"/>
              </w:rPr>
            </w:pPr>
            <w:r w:rsidRPr="00D637FB">
              <w:rPr>
                <w:rFonts w:eastAsiaTheme="minorHAnsi"/>
                <w:sz w:val="22"/>
                <w:szCs w:val="22"/>
              </w:rPr>
              <w:t>Peters-</w:t>
            </w:r>
            <w:proofErr w:type="spellStart"/>
            <w:r w:rsidRPr="00D637FB">
              <w:rPr>
                <w:rFonts w:eastAsiaTheme="minorHAnsi"/>
                <w:sz w:val="22"/>
                <w:szCs w:val="22"/>
              </w:rPr>
              <w:t>Veluthamaningal</w:t>
            </w:r>
            <w:proofErr w:type="spellEnd"/>
            <w:r w:rsidRPr="00D637FB">
              <w:rPr>
                <w:rFonts w:eastAsiaTheme="minorHAnsi"/>
                <w:sz w:val="22"/>
                <w:szCs w:val="22"/>
              </w:rPr>
              <w:t xml:space="preserve"> C, van der </w:t>
            </w:r>
            <w:proofErr w:type="spellStart"/>
            <w:r w:rsidRPr="00D637FB">
              <w:rPr>
                <w:rFonts w:eastAsiaTheme="minorHAnsi"/>
                <w:sz w:val="22"/>
                <w:szCs w:val="22"/>
              </w:rPr>
              <w:t>Windt</w:t>
            </w:r>
            <w:proofErr w:type="spellEnd"/>
            <w:r w:rsidRPr="00D637FB">
              <w:rPr>
                <w:rFonts w:eastAsiaTheme="minorHAnsi"/>
                <w:sz w:val="22"/>
                <w:szCs w:val="22"/>
              </w:rPr>
              <w:t xml:space="preserve"> DAWM, Winters JC, </w:t>
            </w:r>
            <w:proofErr w:type="spellStart"/>
            <w:r w:rsidRPr="00D637FB">
              <w:rPr>
                <w:rFonts w:eastAsiaTheme="minorHAnsi"/>
                <w:sz w:val="22"/>
                <w:szCs w:val="22"/>
              </w:rPr>
              <w:t>Meyboom</w:t>
            </w:r>
            <w:proofErr w:type="spellEnd"/>
            <w:r w:rsidRPr="00D637FB">
              <w:rPr>
                <w:rFonts w:eastAsiaTheme="minorHAnsi"/>
                <w:sz w:val="22"/>
                <w:szCs w:val="22"/>
              </w:rPr>
              <w:t xml:space="preserve">- de Jong B. Corticosteroid injection for trigger finger in adults. Cochrane Database of Systematic Reviews 2009, Issue 1. Art. No.: CD005617. DOI: 10.1002/14651858.CD005617.pub2. http://onlinelibrary.wiley.com/doi/10.1002/14651858.CD005617.pub2/full  </w:t>
            </w:r>
          </w:p>
        </w:tc>
      </w:tr>
    </w:tbl>
    <w:p w14:paraId="4C1A790F" w14:textId="77777777" w:rsidR="009F19F3" w:rsidRDefault="009F19F3" w:rsidP="009F19F3">
      <w:pPr>
        <w:spacing w:after="0"/>
        <w:rPr>
          <w:rFonts w:ascii="Arial" w:hAnsi="Arial" w:cs="Arial"/>
          <w:b/>
          <w:sz w:val="24"/>
          <w:szCs w:val="24"/>
        </w:rPr>
      </w:pPr>
    </w:p>
    <w:p w14:paraId="2EA3169B" w14:textId="77777777" w:rsidR="00B41FAF" w:rsidRPr="00BC58D6" w:rsidRDefault="00B41FAF" w:rsidP="009F19F3">
      <w:pPr>
        <w:spacing w:after="0"/>
        <w:rPr>
          <w:rFonts w:ascii="Arial" w:hAnsi="Arial" w:cs="Arial"/>
          <w:sz w:val="24"/>
          <w:szCs w:val="24"/>
        </w:rPr>
      </w:pPr>
      <w:r w:rsidRPr="00BC58D6">
        <w:rPr>
          <w:rFonts w:ascii="Arial" w:hAnsi="Arial" w:cs="Arial"/>
          <w:sz w:val="24"/>
          <w:szCs w:val="24"/>
        </w:rPr>
        <w:t>Link to application form</w:t>
      </w:r>
      <w:r w:rsidR="00BC58D6">
        <w:rPr>
          <w:rFonts w:ascii="Arial" w:hAnsi="Arial" w:cs="Arial"/>
          <w:sz w:val="24"/>
          <w:szCs w:val="24"/>
        </w:rPr>
        <w:t xml:space="preserve"> – </w:t>
      </w:r>
      <w:r w:rsidR="00D56B7F">
        <w:rPr>
          <w:rFonts w:ascii="Arial" w:hAnsi="Arial" w:cs="Arial"/>
          <w:sz w:val="24"/>
          <w:szCs w:val="24"/>
        </w:rPr>
        <w:t>Not Applicable</w:t>
      </w:r>
    </w:p>
    <w:p w14:paraId="41A71033" w14:textId="77777777" w:rsidR="00B41FAF" w:rsidRPr="00FA3D54" w:rsidRDefault="00FA3D54" w:rsidP="009F19F3">
      <w:pPr>
        <w:spacing w:after="0"/>
        <w:rPr>
          <w:rFonts w:ascii="Arial" w:hAnsi="Arial" w:cs="Arial"/>
          <w:sz w:val="24"/>
          <w:szCs w:val="24"/>
        </w:rPr>
      </w:pPr>
      <w:r>
        <w:rPr>
          <w:rFonts w:ascii="Arial" w:hAnsi="Arial" w:cs="Arial"/>
          <w:sz w:val="24"/>
          <w:szCs w:val="24"/>
        </w:rPr>
        <w:t xml:space="preserve">For further information please contact </w:t>
      </w:r>
      <w:hyperlink r:id="rId10" w:history="1">
        <w:r w:rsidR="00BC1495" w:rsidRPr="002D5649">
          <w:rPr>
            <w:rStyle w:val="Hyperlink"/>
            <w:rFonts w:ascii="Arial" w:hAnsi="Arial" w:cs="Arial"/>
            <w:sz w:val="24"/>
            <w:szCs w:val="24"/>
          </w:rPr>
          <w:t>GLCCG.IFR@nhs.net</w:t>
        </w:r>
      </w:hyperlink>
      <w:r>
        <w:rPr>
          <w:rFonts w:ascii="Arial" w:hAnsi="Arial" w:cs="Arial"/>
          <w:sz w:val="24"/>
          <w:szCs w:val="24"/>
        </w:rPr>
        <w:t xml:space="preserve"> </w:t>
      </w:r>
    </w:p>
    <w:p w14:paraId="412550D7" w14:textId="56C50774" w:rsidR="00B41FAF" w:rsidRDefault="00B41FAF" w:rsidP="009F19F3">
      <w:pPr>
        <w:spacing w:after="0"/>
        <w:rPr>
          <w:rFonts w:ascii="Arial" w:hAnsi="Arial" w:cs="Arial"/>
          <w:b/>
          <w:sz w:val="24"/>
          <w:szCs w:val="24"/>
        </w:rPr>
      </w:pPr>
    </w:p>
    <w:p w14:paraId="5FBBC3D5" w14:textId="77777777" w:rsidR="00CB4476" w:rsidRDefault="00CB4476" w:rsidP="009F19F3">
      <w:pPr>
        <w:spacing w:after="0"/>
        <w:rPr>
          <w:rFonts w:ascii="Arial" w:hAnsi="Arial" w:cs="Arial"/>
          <w:b/>
          <w:sz w:val="24"/>
          <w:szCs w:val="24"/>
        </w:rPr>
      </w:pPr>
    </w:p>
    <w:tbl>
      <w:tblPr>
        <w:tblStyle w:val="TableGrid"/>
        <w:tblW w:w="0" w:type="auto"/>
        <w:tblLook w:val="04A0" w:firstRow="1" w:lastRow="0" w:firstColumn="1" w:lastColumn="0" w:noHBand="0" w:noVBand="1"/>
      </w:tblPr>
      <w:tblGrid>
        <w:gridCol w:w="2518"/>
        <w:gridCol w:w="6724"/>
      </w:tblGrid>
      <w:tr w:rsidR="009F19F3" w:rsidRPr="002D40C0" w14:paraId="2D718A21" w14:textId="77777777" w:rsidTr="009F19F3">
        <w:tc>
          <w:tcPr>
            <w:tcW w:w="2518" w:type="dxa"/>
          </w:tcPr>
          <w:p w14:paraId="4F9B198D" w14:textId="77777777" w:rsidR="009F19F3" w:rsidRPr="002D40C0" w:rsidRDefault="009F19F3" w:rsidP="009F19F3">
            <w:pPr>
              <w:rPr>
                <w:rFonts w:ascii="Arial" w:hAnsi="Arial" w:cs="Arial"/>
                <w:b/>
              </w:rPr>
            </w:pPr>
            <w:r w:rsidRPr="002D40C0">
              <w:rPr>
                <w:rFonts w:ascii="Arial" w:hAnsi="Arial" w:cs="Arial"/>
                <w:b/>
              </w:rPr>
              <w:t>Date of publication</w:t>
            </w:r>
          </w:p>
        </w:tc>
        <w:tc>
          <w:tcPr>
            <w:tcW w:w="6724" w:type="dxa"/>
          </w:tcPr>
          <w:p w14:paraId="0C302113" w14:textId="77777777" w:rsidR="009F19F3" w:rsidRPr="009E372D" w:rsidRDefault="00582411" w:rsidP="009F19F3">
            <w:pPr>
              <w:rPr>
                <w:rFonts w:ascii="Arial" w:hAnsi="Arial" w:cs="Arial"/>
              </w:rPr>
            </w:pPr>
            <w:r>
              <w:rPr>
                <w:rFonts w:ascii="Arial" w:hAnsi="Arial" w:cs="Arial"/>
              </w:rPr>
              <w:t>12</w:t>
            </w:r>
            <w:r w:rsidRPr="00582411">
              <w:rPr>
                <w:rFonts w:ascii="Arial" w:hAnsi="Arial" w:cs="Arial"/>
                <w:vertAlign w:val="superscript"/>
              </w:rPr>
              <w:t>th</w:t>
            </w:r>
            <w:r>
              <w:rPr>
                <w:rFonts w:ascii="Arial" w:hAnsi="Arial" w:cs="Arial"/>
              </w:rPr>
              <w:t xml:space="preserve"> </w:t>
            </w:r>
            <w:r w:rsidR="009E372D" w:rsidRPr="009E372D">
              <w:rPr>
                <w:rFonts w:ascii="Arial" w:hAnsi="Arial" w:cs="Arial"/>
              </w:rPr>
              <w:t>October 2015</w:t>
            </w:r>
            <w:r w:rsidR="00FD5C98">
              <w:rPr>
                <w:rFonts w:ascii="Arial" w:hAnsi="Arial" w:cs="Arial"/>
              </w:rPr>
              <w:t xml:space="preserve"> minor amendment 7.7.16</w:t>
            </w:r>
          </w:p>
        </w:tc>
      </w:tr>
      <w:tr w:rsidR="009F19F3" w:rsidRPr="002D40C0" w14:paraId="54A6D499" w14:textId="77777777" w:rsidTr="009F19F3">
        <w:tc>
          <w:tcPr>
            <w:tcW w:w="2518" w:type="dxa"/>
          </w:tcPr>
          <w:p w14:paraId="77CCDE9D" w14:textId="77777777" w:rsidR="009F19F3" w:rsidRPr="002D40C0" w:rsidRDefault="009F19F3" w:rsidP="009F19F3">
            <w:pPr>
              <w:rPr>
                <w:rFonts w:ascii="Arial" w:hAnsi="Arial" w:cs="Arial"/>
                <w:b/>
              </w:rPr>
            </w:pPr>
            <w:r w:rsidRPr="002D40C0">
              <w:rPr>
                <w:rFonts w:ascii="Arial" w:hAnsi="Arial" w:cs="Arial"/>
                <w:b/>
              </w:rPr>
              <w:t>Policy review date</w:t>
            </w:r>
          </w:p>
        </w:tc>
        <w:tc>
          <w:tcPr>
            <w:tcW w:w="6724" w:type="dxa"/>
          </w:tcPr>
          <w:p w14:paraId="098529F2" w14:textId="379B80F3" w:rsidR="009F19F3" w:rsidRPr="009E372D" w:rsidRDefault="00CB4476" w:rsidP="006F4D02">
            <w:pPr>
              <w:rPr>
                <w:rFonts w:ascii="Arial" w:hAnsi="Arial" w:cs="Arial"/>
              </w:rPr>
            </w:pPr>
            <w:r>
              <w:rPr>
                <w:rFonts w:ascii="Arial" w:hAnsi="Arial" w:cs="Arial"/>
              </w:rPr>
              <w:t>June 2025</w:t>
            </w:r>
          </w:p>
        </w:tc>
      </w:tr>
    </w:tbl>
    <w:p w14:paraId="1F36C774" w14:textId="77777777" w:rsidR="009F19F3" w:rsidRDefault="009F19F3" w:rsidP="009F19F3">
      <w:pPr>
        <w:spacing w:after="0"/>
        <w:rPr>
          <w:rFonts w:ascii="Arial" w:hAnsi="Arial" w:cs="Arial"/>
          <w:b/>
          <w:sz w:val="24"/>
          <w:szCs w:val="24"/>
        </w:rPr>
      </w:pPr>
    </w:p>
    <w:p w14:paraId="138E66C3" w14:textId="77777777" w:rsidR="002D40C0" w:rsidRDefault="002D40C0" w:rsidP="002D40C0">
      <w:pPr>
        <w:spacing w:after="0"/>
        <w:rPr>
          <w:rFonts w:ascii="Arial" w:hAnsi="Arial" w:cs="Arial"/>
          <w:b/>
          <w:sz w:val="24"/>
          <w:szCs w:val="24"/>
        </w:rPr>
      </w:pPr>
      <w:r>
        <w:rPr>
          <w:rFonts w:ascii="Arial" w:hAnsi="Arial" w:cs="Arial"/>
          <w:b/>
          <w:sz w:val="24"/>
          <w:szCs w:val="24"/>
        </w:rPr>
        <w:t>Consultation</w:t>
      </w:r>
    </w:p>
    <w:tbl>
      <w:tblPr>
        <w:tblStyle w:val="TableGrid"/>
        <w:tblW w:w="0" w:type="auto"/>
        <w:tblLook w:val="04A0" w:firstRow="1" w:lastRow="0" w:firstColumn="1" w:lastColumn="0" w:noHBand="0" w:noVBand="1"/>
      </w:tblPr>
      <w:tblGrid>
        <w:gridCol w:w="5920"/>
        <w:gridCol w:w="3322"/>
      </w:tblGrid>
      <w:tr w:rsidR="002D40C0" w:rsidRPr="000B2A20" w14:paraId="0C1C3F51" w14:textId="77777777" w:rsidTr="000272C8">
        <w:tc>
          <w:tcPr>
            <w:tcW w:w="5920" w:type="dxa"/>
          </w:tcPr>
          <w:p w14:paraId="59091477" w14:textId="77777777" w:rsidR="002D40C0" w:rsidRPr="000B2A20" w:rsidRDefault="002D40C0" w:rsidP="000272C8">
            <w:pPr>
              <w:rPr>
                <w:rFonts w:ascii="Arial" w:hAnsi="Arial" w:cs="Arial"/>
                <w:b/>
              </w:rPr>
            </w:pPr>
            <w:r>
              <w:rPr>
                <w:rFonts w:ascii="Arial" w:hAnsi="Arial" w:cs="Arial"/>
                <w:b/>
              </w:rPr>
              <w:t>Consultee</w:t>
            </w:r>
          </w:p>
        </w:tc>
        <w:tc>
          <w:tcPr>
            <w:tcW w:w="3322" w:type="dxa"/>
          </w:tcPr>
          <w:p w14:paraId="4C62F9F6" w14:textId="77777777" w:rsidR="002D40C0" w:rsidRPr="000B2A20" w:rsidRDefault="002D40C0" w:rsidP="000272C8">
            <w:pPr>
              <w:rPr>
                <w:rFonts w:ascii="Arial" w:hAnsi="Arial" w:cs="Arial"/>
                <w:b/>
              </w:rPr>
            </w:pPr>
            <w:r>
              <w:rPr>
                <w:rFonts w:ascii="Arial" w:hAnsi="Arial" w:cs="Arial"/>
                <w:b/>
              </w:rPr>
              <w:t>Date</w:t>
            </w:r>
          </w:p>
        </w:tc>
      </w:tr>
      <w:tr w:rsidR="002D40C0" w:rsidRPr="000B2A20" w14:paraId="49F66457" w14:textId="77777777" w:rsidTr="000272C8">
        <w:tc>
          <w:tcPr>
            <w:tcW w:w="5920" w:type="dxa"/>
          </w:tcPr>
          <w:p w14:paraId="32B5BDF3" w14:textId="77777777" w:rsidR="002D40C0" w:rsidRPr="000B2A20" w:rsidRDefault="002D40C0" w:rsidP="000272C8">
            <w:pPr>
              <w:rPr>
                <w:rFonts w:ascii="Arial" w:hAnsi="Arial" w:cs="Arial"/>
              </w:rPr>
            </w:pPr>
            <w:r>
              <w:rPr>
                <w:rFonts w:ascii="Arial" w:hAnsi="Arial" w:cs="Arial"/>
              </w:rPr>
              <w:t>MSK Clinical Programme Group</w:t>
            </w:r>
          </w:p>
        </w:tc>
        <w:tc>
          <w:tcPr>
            <w:tcW w:w="3322" w:type="dxa"/>
          </w:tcPr>
          <w:p w14:paraId="0144DD9C" w14:textId="77777777" w:rsidR="002D40C0" w:rsidRPr="000B2A20" w:rsidRDefault="00342E94" w:rsidP="000272C8">
            <w:pPr>
              <w:rPr>
                <w:rFonts w:ascii="Arial" w:hAnsi="Arial" w:cs="Arial"/>
              </w:rPr>
            </w:pPr>
            <w:r>
              <w:rPr>
                <w:rFonts w:ascii="Arial" w:hAnsi="Arial" w:cs="Arial"/>
              </w:rPr>
              <w:t>7</w:t>
            </w:r>
            <w:r>
              <w:rPr>
                <w:rFonts w:ascii="Arial" w:hAnsi="Arial" w:cs="Arial"/>
                <w:vertAlign w:val="superscript"/>
              </w:rPr>
              <w:t>th</w:t>
            </w:r>
            <w:r>
              <w:rPr>
                <w:rFonts w:ascii="Arial" w:hAnsi="Arial" w:cs="Arial"/>
              </w:rPr>
              <w:t xml:space="preserve"> July 2015</w:t>
            </w:r>
          </w:p>
        </w:tc>
      </w:tr>
      <w:tr w:rsidR="002D40C0" w:rsidRPr="000B2A20" w14:paraId="0D6A9D06" w14:textId="77777777" w:rsidTr="000272C8">
        <w:tc>
          <w:tcPr>
            <w:tcW w:w="5920" w:type="dxa"/>
          </w:tcPr>
          <w:p w14:paraId="0C744011" w14:textId="77777777" w:rsidR="002D40C0" w:rsidRPr="000B2A20" w:rsidRDefault="002D40C0" w:rsidP="009E372D">
            <w:pPr>
              <w:rPr>
                <w:rFonts w:ascii="Arial" w:hAnsi="Arial" w:cs="Arial"/>
              </w:rPr>
            </w:pPr>
            <w:r>
              <w:rPr>
                <w:rFonts w:ascii="Arial" w:hAnsi="Arial" w:cs="Arial"/>
              </w:rPr>
              <w:t xml:space="preserve">GHNHSFT (via </w:t>
            </w:r>
            <w:r w:rsidR="009E372D">
              <w:rPr>
                <w:rFonts w:ascii="Arial" w:hAnsi="Arial" w:cs="Arial"/>
              </w:rPr>
              <w:t>CPG</w:t>
            </w:r>
            <w:r>
              <w:rPr>
                <w:rFonts w:ascii="Arial" w:hAnsi="Arial" w:cs="Arial"/>
              </w:rPr>
              <w:t>)</w:t>
            </w:r>
          </w:p>
        </w:tc>
        <w:tc>
          <w:tcPr>
            <w:tcW w:w="3322" w:type="dxa"/>
          </w:tcPr>
          <w:p w14:paraId="62CA7EAD" w14:textId="77777777" w:rsidR="002D40C0" w:rsidRPr="00E6337E" w:rsidRDefault="009E372D" w:rsidP="000272C8">
            <w:pPr>
              <w:rPr>
                <w:rFonts w:ascii="Arial" w:hAnsi="Arial" w:cs="Arial"/>
              </w:rPr>
            </w:pPr>
            <w:r>
              <w:rPr>
                <w:rFonts w:ascii="Arial" w:hAnsi="Arial" w:cs="Arial"/>
              </w:rPr>
              <w:t>7</w:t>
            </w:r>
            <w:r w:rsidRPr="009E372D">
              <w:rPr>
                <w:rFonts w:ascii="Arial" w:hAnsi="Arial" w:cs="Arial"/>
                <w:vertAlign w:val="superscript"/>
              </w:rPr>
              <w:t>th</w:t>
            </w:r>
            <w:r>
              <w:rPr>
                <w:rFonts w:ascii="Arial" w:hAnsi="Arial" w:cs="Arial"/>
              </w:rPr>
              <w:t xml:space="preserve"> July 2015</w:t>
            </w:r>
          </w:p>
        </w:tc>
      </w:tr>
      <w:tr w:rsidR="002D40C0" w:rsidRPr="000B2A20" w14:paraId="5B37C73D" w14:textId="77777777" w:rsidTr="000272C8">
        <w:tc>
          <w:tcPr>
            <w:tcW w:w="5920" w:type="dxa"/>
            <w:tcBorders>
              <w:bottom w:val="single" w:sz="4" w:space="0" w:color="auto"/>
            </w:tcBorders>
          </w:tcPr>
          <w:p w14:paraId="4E16B16A" w14:textId="77777777" w:rsidR="002D40C0" w:rsidRDefault="002D40C0" w:rsidP="000272C8">
            <w:pPr>
              <w:rPr>
                <w:rFonts w:ascii="Arial" w:hAnsi="Arial" w:cs="Arial"/>
              </w:rPr>
            </w:pPr>
            <w:r>
              <w:rPr>
                <w:rFonts w:ascii="Arial" w:hAnsi="Arial" w:cs="Arial"/>
              </w:rPr>
              <w:t>GP Membership (via CCG Live/What’s New This Week)</w:t>
            </w:r>
          </w:p>
        </w:tc>
        <w:tc>
          <w:tcPr>
            <w:tcW w:w="3322" w:type="dxa"/>
            <w:tcBorders>
              <w:bottom w:val="single" w:sz="4" w:space="0" w:color="auto"/>
            </w:tcBorders>
          </w:tcPr>
          <w:p w14:paraId="57A11F3A" w14:textId="77777777" w:rsidR="002D40C0" w:rsidRPr="00E6337E" w:rsidRDefault="009E372D" w:rsidP="000272C8">
            <w:pPr>
              <w:rPr>
                <w:rFonts w:ascii="Arial" w:hAnsi="Arial" w:cs="Arial"/>
              </w:rPr>
            </w:pPr>
            <w:r>
              <w:rPr>
                <w:rFonts w:ascii="Arial" w:hAnsi="Arial" w:cs="Arial"/>
              </w:rPr>
              <w:t>10</w:t>
            </w:r>
            <w:r w:rsidRPr="009E372D">
              <w:rPr>
                <w:rFonts w:ascii="Arial" w:hAnsi="Arial" w:cs="Arial"/>
                <w:vertAlign w:val="superscript"/>
              </w:rPr>
              <w:t>th</w:t>
            </w:r>
            <w:r>
              <w:rPr>
                <w:rFonts w:ascii="Arial" w:hAnsi="Arial" w:cs="Arial"/>
              </w:rPr>
              <w:t xml:space="preserve"> July – 7</w:t>
            </w:r>
            <w:r w:rsidRPr="009E372D">
              <w:rPr>
                <w:rFonts w:ascii="Arial" w:hAnsi="Arial" w:cs="Arial"/>
                <w:vertAlign w:val="superscript"/>
              </w:rPr>
              <w:t>th</w:t>
            </w:r>
            <w:r>
              <w:rPr>
                <w:rFonts w:ascii="Arial" w:hAnsi="Arial" w:cs="Arial"/>
              </w:rPr>
              <w:t xml:space="preserve"> August 2015</w:t>
            </w:r>
          </w:p>
        </w:tc>
      </w:tr>
      <w:tr w:rsidR="002D40C0" w:rsidRPr="000B2A20" w14:paraId="34A5671B" w14:textId="77777777" w:rsidTr="000272C8">
        <w:tc>
          <w:tcPr>
            <w:tcW w:w="5920" w:type="dxa"/>
            <w:shd w:val="clear" w:color="auto" w:fill="C4BC96" w:themeFill="background2" w:themeFillShade="BF"/>
          </w:tcPr>
          <w:p w14:paraId="05E360D5" w14:textId="77777777" w:rsidR="002D40C0" w:rsidRPr="000B2A20" w:rsidRDefault="002D40C0" w:rsidP="000272C8">
            <w:pPr>
              <w:rPr>
                <w:rFonts w:ascii="Arial" w:hAnsi="Arial" w:cs="Arial"/>
              </w:rPr>
            </w:pPr>
          </w:p>
        </w:tc>
        <w:tc>
          <w:tcPr>
            <w:tcW w:w="3322" w:type="dxa"/>
            <w:shd w:val="clear" w:color="auto" w:fill="C4BC96" w:themeFill="background2" w:themeFillShade="BF"/>
          </w:tcPr>
          <w:p w14:paraId="7F066D8B" w14:textId="77777777" w:rsidR="002D40C0" w:rsidRPr="000B2A20" w:rsidRDefault="002D40C0" w:rsidP="000272C8">
            <w:pPr>
              <w:rPr>
                <w:rFonts w:ascii="Arial" w:hAnsi="Arial" w:cs="Arial"/>
                <w:b/>
              </w:rPr>
            </w:pPr>
          </w:p>
        </w:tc>
      </w:tr>
      <w:tr w:rsidR="002D40C0" w:rsidRPr="000B2A20" w14:paraId="35B01025" w14:textId="77777777" w:rsidTr="000272C8">
        <w:tc>
          <w:tcPr>
            <w:tcW w:w="5920" w:type="dxa"/>
          </w:tcPr>
          <w:p w14:paraId="48714928" w14:textId="77777777" w:rsidR="002D40C0" w:rsidRPr="000B2A20" w:rsidRDefault="002D40C0" w:rsidP="000272C8">
            <w:pPr>
              <w:rPr>
                <w:rFonts w:ascii="Arial" w:hAnsi="Arial" w:cs="Arial"/>
              </w:rPr>
            </w:pPr>
            <w:r>
              <w:rPr>
                <w:rFonts w:ascii="Arial" w:hAnsi="Arial" w:cs="Arial"/>
              </w:rPr>
              <w:t>Has the consultation included patient representatives?</w:t>
            </w:r>
          </w:p>
        </w:tc>
        <w:tc>
          <w:tcPr>
            <w:tcW w:w="3322" w:type="dxa"/>
          </w:tcPr>
          <w:p w14:paraId="3D104EE9" w14:textId="77777777" w:rsidR="002D40C0" w:rsidRPr="009E372D" w:rsidRDefault="002D40C0" w:rsidP="000272C8">
            <w:pPr>
              <w:rPr>
                <w:rFonts w:ascii="Arial" w:hAnsi="Arial" w:cs="Arial"/>
              </w:rPr>
            </w:pPr>
            <w:r w:rsidRPr="009E372D">
              <w:rPr>
                <w:rFonts w:ascii="Arial" w:hAnsi="Arial" w:cs="Arial"/>
              </w:rPr>
              <w:t>Yes</w:t>
            </w:r>
            <w:r w:rsidR="009E372D">
              <w:rPr>
                <w:rFonts w:ascii="Arial" w:hAnsi="Arial" w:cs="Arial"/>
              </w:rPr>
              <w:t xml:space="preserve"> (via CPG and ECCP membership)</w:t>
            </w:r>
          </w:p>
        </w:tc>
      </w:tr>
    </w:tbl>
    <w:p w14:paraId="3E682A91" w14:textId="77777777" w:rsidR="002D40C0" w:rsidRDefault="002D40C0" w:rsidP="002D40C0">
      <w:pPr>
        <w:spacing w:after="0"/>
        <w:rPr>
          <w:rFonts w:ascii="Arial" w:hAnsi="Arial" w:cs="Arial"/>
          <w:b/>
          <w:sz w:val="24"/>
          <w:szCs w:val="24"/>
        </w:rPr>
      </w:pPr>
    </w:p>
    <w:p w14:paraId="3D35CF52" w14:textId="77777777" w:rsidR="002D40C0" w:rsidRDefault="002D40C0" w:rsidP="002D40C0">
      <w:pPr>
        <w:spacing w:after="0"/>
        <w:rPr>
          <w:rFonts w:ascii="Arial" w:hAnsi="Arial" w:cs="Arial"/>
          <w:b/>
          <w:sz w:val="24"/>
          <w:szCs w:val="24"/>
        </w:rPr>
      </w:pPr>
      <w:r>
        <w:rPr>
          <w:rFonts w:ascii="Arial" w:hAnsi="Arial" w:cs="Arial"/>
          <w:b/>
          <w:sz w:val="24"/>
          <w:szCs w:val="24"/>
        </w:rPr>
        <w:t>Policy sign off</w:t>
      </w:r>
    </w:p>
    <w:tbl>
      <w:tblPr>
        <w:tblStyle w:val="TableGrid"/>
        <w:tblW w:w="0" w:type="auto"/>
        <w:tblLook w:val="04A0" w:firstRow="1" w:lastRow="0" w:firstColumn="1" w:lastColumn="0" w:noHBand="0" w:noVBand="1"/>
      </w:tblPr>
      <w:tblGrid>
        <w:gridCol w:w="5920"/>
        <w:gridCol w:w="3322"/>
      </w:tblGrid>
      <w:tr w:rsidR="002D40C0" w14:paraId="59FF78B6" w14:textId="77777777" w:rsidTr="000272C8">
        <w:tc>
          <w:tcPr>
            <w:tcW w:w="5920" w:type="dxa"/>
            <w:tcBorders>
              <w:top w:val="single" w:sz="4" w:space="0" w:color="auto"/>
              <w:left w:val="single" w:sz="4" w:space="0" w:color="auto"/>
              <w:bottom w:val="single" w:sz="4" w:space="0" w:color="auto"/>
              <w:right w:val="single" w:sz="4" w:space="0" w:color="auto"/>
            </w:tcBorders>
            <w:hideMark/>
          </w:tcPr>
          <w:p w14:paraId="545F640A" w14:textId="77777777" w:rsidR="002D40C0" w:rsidRDefault="002D40C0" w:rsidP="000272C8">
            <w:pPr>
              <w:rPr>
                <w:rFonts w:ascii="Arial" w:hAnsi="Arial" w:cs="Arial"/>
                <w:b/>
              </w:rPr>
            </w:pPr>
            <w:r>
              <w:rPr>
                <w:rFonts w:ascii="Arial" w:hAnsi="Arial" w:cs="Arial"/>
                <w:b/>
              </w:rPr>
              <w:t>Reviewing Body</w:t>
            </w:r>
          </w:p>
        </w:tc>
        <w:tc>
          <w:tcPr>
            <w:tcW w:w="3322" w:type="dxa"/>
            <w:tcBorders>
              <w:top w:val="single" w:sz="4" w:space="0" w:color="auto"/>
              <w:left w:val="single" w:sz="4" w:space="0" w:color="auto"/>
              <w:bottom w:val="single" w:sz="4" w:space="0" w:color="auto"/>
              <w:right w:val="single" w:sz="4" w:space="0" w:color="auto"/>
            </w:tcBorders>
            <w:hideMark/>
          </w:tcPr>
          <w:p w14:paraId="6A8DB902" w14:textId="77777777" w:rsidR="002D40C0" w:rsidRDefault="002D40C0" w:rsidP="000272C8">
            <w:pPr>
              <w:rPr>
                <w:rFonts w:ascii="Arial" w:hAnsi="Arial" w:cs="Arial"/>
                <w:b/>
              </w:rPr>
            </w:pPr>
            <w:r>
              <w:rPr>
                <w:rFonts w:ascii="Arial" w:hAnsi="Arial" w:cs="Arial"/>
                <w:b/>
              </w:rPr>
              <w:t>Date of review</w:t>
            </w:r>
          </w:p>
        </w:tc>
      </w:tr>
      <w:tr w:rsidR="002D40C0" w14:paraId="5F2C2C4F" w14:textId="77777777" w:rsidTr="000272C8">
        <w:tc>
          <w:tcPr>
            <w:tcW w:w="5920" w:type="dxa"/>
            <w:tcBorders>
              <w:top w:val="single" w:sz="4" w:space="0" w:color="auto"/>
              <w:left w:val="single" w:sz="4" w:space="0" w:color="auto"/>
              <w:bottom w:val="single" w:sz="4" w:space="0" w:color="auto"/>
              <w:right w:val="single" w:sz="4" w:space="0" w:color="auto"/>
            </w:tcBorders>
            <w:hideMark/>
          </w:tcPr>
          <w:p w14:paraId="38C6C90A" w14:textId="77777777" w:rsidR="002D40C0" w:rsidRDefault="002D40C0" w:rsidP="000272C8">
            <w:pPr>
              <w:rPr>
                <w:rFonts w:ascii="Arial" w:hAnsi="Arial" w:cs="Arial"/>
              </w:rPr>
            </w:pPr>
            <w:r>
              <w:rPr>
                <w:rFonts w:ascii="Arial" w:hAnsi="Arial" w:cs="Arial"/>
              </w:rPr>
              <w:t>Effective Clinical Commissioning Policy Group</w:t>
            </w:r>
          </w:p>
        </w:tc>
        <w:tc>
          <w:tcPr>
            <w:tcW w:w="3322" w:type="dxa"/>
            <w:tcBorders>
              <w:top w:val="single" w:sz="4" w:space="0" w:color="auto"/>
              <w:left w:val="single" w:sz="4" w:space="0" w:color="auto"/>
              <w:bottom w:val="single" w:sz="4" w:space="0" w:color="auto"/>
              <w:right w:val="single" w:sz="4" w:space="0" w:color="auto"/>
            </w:tcBorders>
            <w:hideMark/>
          </w:tcPr>
          <w:p w14:paraId="3D1B6631" w14:textId="77777777" w:rsidR="002D40C0" w:rsidRDefault="009E372D" w:rsidP="000272C8">
            <w:pPr>
              <w:rPr>
                <w:rFonts w:ascii="Arial" w:hAnsi="Arial" w:cs="Arial"/>
              </w:rPr>
            </w:pPr>
            <w:r>
              <w:rPr>
                <w:rFonts w:ascii="Arial" w:hAnsi="Arial" w:cs="Arial"/>
              </w:rPr>
              <w:t>3</w:t>
            </w:r>
            <w:r w:rsidRPr="009E372D">
              <w:rPr>
                <w:rFonts w:ascii="Arial" w:hAnsi="Arial" w:cs="Arial"/>
                <w:vertAlign w:val="superscript"/>
              </w:rPr>
              <w:t>rd</w:t>
            </w:r>
            <w:r>
              <w:rPr>
                <w:rFonts w:ascii="Arial" w:hAnsi="Arial" w:cs="Arial"/>
              </w:rPr>
              <w:t xml:space="preserve"> August 2015 (virtual)</w:t>
            </w:r>
          </w:p>
        </w:tc>
      </w:tr>
      <w:tr w:rsidR="002D40C0" w14:paraId="1505C57E" w14:textId="77777777" w:rsidTr="000272C8">
        <w:tc>
          <w:tcPr>
            <w:tcW w:w="5920" w:type="dxa"/>
            <w:tcBorders>
              <w:top w:val="single" w:sz="4" w:space="0" w:color="auto"/>
              <w:left w:val="single" w:sz="4" w:space="0" w:color="auto"/>
              <w:bottom w:val="single" w:sz="4" w:space="0" w:color="auto"/>
              <w:right w:val="single" w:sz="4" w:space="0" w:color="auto"/>
            </w:tcBorders>
            <w:hideMark/>
          </w:tcPr>
          <w:p w14:paraId="3CACA99E" w14:textId="77777777" w:rsidR="002D40C0" w:rsidRDefault="002D40C0" w:rsidP="000272C8">
            <w:pPr>
              <w:rPr>
                <w:rFonts w:ascii="Arial" w:hAnsi="Arial" w:cs="Arial"/>
              </w:rPr>
            </w:pPr>
            <w:r>
              <w:rPr>
                <w:rFonts w:ascii="Arial" w:hAnsi="Arial" w:cs="Arial"/>
              </w:rPr>
              <w:t>Integrated Governance and Quality Committee</w:t>
            </w:r>
          </w:p>
        </w:tc>
        <w:tc>
          <w:tcPr>
            <w:tcW w:w="3322" w:type="dxa"/>
            <w:tcBorders>
              <w:top w:val="single" w:sz="4" w:space="0" w:color="auto"/>
              <w:left w:val="single" w:sz="4" w:space="0" w:color="auto"/>
              <w:bottom w:val="single" w:sz="4" w:space="0" w:color="auto"/>
              <w:right w:val="single" w:sz="4" w:space="0" w:color="auto"/>
            </w:tcBorders>
          </w:tcPr>
          <w:p w14:paraId="46F3E0D9" w14:textId="77777777" w:rsidR="002D40C0" w:rsidRPr="009E372D" w:rsidRDefault="009E372D" w:rsidP="000272C8">
            <w:pPr>
              <w:rPr>
                <w:rFonts w:ascii="Arial" w:hAnsi="Arial" w:cs="Arial"/>
              </w:rPr>
            </w:pPr>
            <w:r w:rsidRPr="009E372D">
              <w:rPr>
                <w:rFonts w:ascii="Arial" w:hAnsi="Arial" w:cs="Arial"/>
              </w:rPr>
              <w:t>20</w:t>
            </w:r>
            <w:r w:rsidRPr="009E372D">
              <w:rPr>
                <w:rFonts w:ascii="Arial" w:hAnsi="Arial" w:cs="Arial"/>
                <w:vertAlign w:val="superscript"/>
              </w:rPr>
              <w:t>th</w:t>
            </w:r>
            <w:r w:rsidRPr="009E372D">
              <w:rPr>
                <w:rFonts w:ascii="Arial" w:hAnsi="Arial" w:cs="Arial"/>
              </w:rPr>
              <w:t xml:space="preserve"> August 2015</w:t>
            </w:r>
          </w:p>
        </w:tc>
      </w:tr>
    </w:tbl>
    <w:p w14:paraId="19763264" w14:textId="794681DD" w:rsidR="006F4D02" w:rsidRDefault="006F4D02" w:rsidP="002D40C0">
      <w:pPr>
        <w:spacing w:after="0"/>
        <w:rPr>
          <w:rFonts w:ascii="Arial" w:hAnsi="Arial" w:cs="Arial"/>
          <w:sz w:val="24"/>
          <w:szCs w:val="24"/>
        </w:rPr>
      </w:pPr>
    </w:p>
    <w:p w14:paraId="20F0EB3B" w14:textId="557CF84B" w:rsidR="00CB4476" w:rsidRDefault="00CB4476" w:rsidP="002D40C0">
      <w:pPr>
        <w:spacing w:after="0"/>
        <w:rPr>
          <w:rFonts w:ascii="Arial" w:hAnsi="Arial" w:cs="Arial"/>
          <w:sz w:val="24"/>
          <w:szCs w:val="24"/>
        </w:rPr>
      </w:pPr>
    </w:p>
    <w:p w14:paraId="364E487D" w14:textId="743FA4D2" w:rsidR="00CB4476" w:rsidRDefault="00CB4476" w:rsidP="002D40C0">
      <w:pPr>
        <w:spacing w:after="0"/>
        <w:rPr>
          <w:rFonts w:ascii="Arial" w:hAnsi="Arial" w:cs="Arial"/>
          <w:sz w:val="24"/>
          <w:szCs w:val="24"/>
        </w:rPr>
      </w:pPr>
    </w:p>
    <w:p w14:paraId="48A2FC15" w14:textId="2FAD8BC5" w:rsidR="00CB4476" w:rsidRDefault="00CB4476" w:rsidP="002D40C0">
      <w:pPr>
        <w:spacing w:after="0"/>
        <w:rPr>
          <w:rFonts w:ascii="Arial" w:hAnsi="Arial" w:cs="Arial"/>
          <w:sz w:val="24"/>
          <w:szCs w:val="24"/>
        </w:rPr>
      </w:pPr>
    </w:p>
    <w:p w14:paraId="2FD7CBC0" w14:textId="04B04DA9" w:rsidR="00CB4476" w:rsidRDefault="00CB4476" w:rsidP="002D40C0">
      <w:pPr>
        <w:spacing w:after="0"/>
        <w:rPr>
          <w:rFonts w:ascii="Arial" w:hAnsi="Arial" w:cs="Arial"/>
          <w:sz w:val="24"/>
          <w:szCs w:val="24"/>
        </w:rPr>
      </w:pPr>
    </w:p>
    <w:p w14:paraId="7A9FF5C0" w14:textId="65A3D124" w:rsidR="00CB4476" w:rsidRDefault="00CB4476" w:rsidP="002D40C0">
      <w:pPr>
        <w:spacing w:after="0"/>
        <w:rPr>
          <w:rFonts w:ascii="Arial" w:hAnsi="Arial" w:cs="Arial"/>
          <w:sz w:val="24"/>
          <w:szCs w:val="24"/>
        </w:rPr>
      </w:pPr>
      <w:bookmarkStart w:id="0" w:name="_GoBack"/>
      <w:bookmarkEnd w:id="0"/>
    </w:p>
    <w:p w14:paraId="589B3ECC" w14:textId="77777777" w:rsidR="00CB4476" w:rsidRPr="009F19F3" w:rsidRDefault="00CB4476" w:rsidP="002D40C0">
      <w:pPr>
        <w:spacing w:after="0"/>
        <w:rPr>
          <w:rFonts w:ascii="Arial" w:hAnsi="Arial" w:cs="Arial"/>
          <w:sz w:val="24"/>
          <w:szCs w:val="24"/>
        </w:rPr>
      </w:pPr>
    </w:p>
    <w:p w14:paraId="6677E1F8" w14:textId="77777777" w:rsidR="0050436C" w:rsidRPr="00CB4476" w:rsidRDefault="0050436C" w:rsidP="0050436C">
      <w:pPr>
        <w:spacing w:after="0"/>
        <w:rPr>
          <w:rFonts w:ascii="Arial" w:hAnsi="Arial" w:cs="Arial"/>
          <w:b/>
          <w:sz w:val="24"/>
          <w:szCs w:val="24"/>
        </w:rPr>
      </w:pPr>
      <w:r w:rsidRPr="00CB4476">
        <w:rPr>
          <w:rFonts w:ascii="Arial" w:hAnsi="Arial" w:cs="Arial"/>
          <w:b/>
          <w:sz w:val="24"/>
          <w:szCs w:val="24"/>
        </w:rPr>
        <w:t>Version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3202"/>
        <w:gridCol w:w="951"/>
        <w:gridCol w:w="3711"/>
      </w:tblGrid>
      <w:tr w:rsidR="0050436C" w14:paraId="69D25D84" w14:textId="77777777" w:rsidTr="00BA4370">
        <w:tc>
          <w:tcPr>
            <w:tcW w:w="1378" w:type="dxa"/>
            <w:tcBorders>
              <w:top w:val="single" w:sz="4" w:space="0" w:color="auto"/>
              <w:left w:val="single" w:sz="4" w:space="0" w:color="auto"/>
              <w:bottom w:val="single" w:sz="4" w:space="0" w:color="auto"/>
              <w:right w:val="single" w:sz="4" w:space="0" w:color="auto"/>
            </w:tcBorders>
            <w:hideMark/>
          </w:tcPr>
          <w:p w14:paraId="2024D76A" w14:textId="77777777" w:rsidR="0050436C" w:rsidRDefault="0050436C">
            <w:pPr>
              <w:spacing w:after="0"/>
              <w:rPr>
                <w:rFonts w:ascii="Arial" w:hAnsi="Arial" w:cs="Arial"/>
                <w:b/>
              </w:rPr>
            </w:pPr>
            <w:r>
              <w:rPr>
                <w:rFonts w:ascii="Arial" w:hAnsi="Arial" w:cs="Arial"/>
                <w:b/>
              </w:rPr>
              <w:t>Version No</w:t>
            </w:r>
          </w:p>
        </w:tc>
        <w:tc>
          <w:tcPr>
            <w:tcW w:w="3202" w:type="dxa"/>
            <w:tcBorders>
              <w:top w:val="single" w:sz="4" w:space="0" w:color="auto"/>
              <w:left w:val="single" w:sz="4" w:space="0" w:color="auto"/>
              <w:bottom w:val="single" w:sz="4" w:space="0" w:color="auto"/>
              <w:right w:val="single" w:sz="4" w:space="0" w:color="auto"/>
            </w:tcBorders>
            <w:hideMark/>
          </w:tcPr>
          <w:p w14:paraId="4068BBB3" w14:textId="77777777" w:rsidR="0050436C" w:rsidRDefault="0050436C">
            <w:pPr>
              <w:spacing w:after="0"/>
              <w:rPr>
                <w:rFonts w:ascii="Arial" w:hAnsi="Arial" w:cs="Arial"/>
                <w:b/>
              </w:rPr>
            </w:pPr>
            <w:r>
              <w:rPr>
                <w:rFonts w:ascii="Arial" w:hAnsi="Arial" w:cs="Arial"/>
                <w:b/>
              </w:rPr>
              <w:t>Type of Change</w:t>
            </w:r>
          </w:p>
        </w:tc>
        <w:tc>
          <w:tcPr>
            <w:tcW w:w="951" w:type="dxa"/>
            <w:tcBorders>
              <w:top w:val="single" w:sz="4" w:space="0" w:color="auto"/>
              <w:left w:val="single" w:sz="4" w:space="0" w:color="auto"/>
              <w:bottom w:val="single" w:sz="4" w:space="0" w:color="auto"/>
              <w:right w:val="single" w:sz="4" w:space="0" w:color="auto"/>
            </w:tcBorders>
            <w:hideMark/>
          </w:tcPr>
          <w:p w14:paraId="0CF592BB" w14:textId="77777777" w:rsidR="0050436C" w:rsidRDefault="0050436C">
            <w:pPr>
              <w:spacing w:after="0"/>
              <w:rPr>
                <w:rFonts w:ascii="Arial" w:hAnsi="Arial" w:cs="Arial"/>
                <w:b/>
              </w:rPr>
            </w:pPr>
            <w:r>
              <w:rPr>
                <w:rFonts w:ascii="Arial" w:hAnsi="Arial" w:cs="Arial"/>
                <w:b/>
              </w:rPr>
              <w:t xml:space="preserve">Date </w:t>
            </w:r>
          </w:p>
        </w:tc>
        <w:tc>
          <w:tcPr>
            <w:tcW w:w="3711" w:type="dxa"/>
            <w:tcBorders>
              <w:top w:val="single" w:sz="4" w:space="0" w:color="auto"/>
              <w:left w:val="single" w:sz="4" w:space="0" w:color="auto"/>
              <w:bottom w:val="single" w:sz="4" w:space="0" w:color="auto"/>
              <w:right w:val="single" w:sz="4" w:space="0" w:color="auto"/>
            </w:tcBorders>
            <w:hideMark/>
          </w:tcPr>
          <w:p w14:paraId="440AB519" w14:textId="77777777" w:rsidR="0050436C" w:rsidRDefault="0050436C">
            <w:pPr>
              <w:spacing w:after="0"/>
              <w:rPr>
                <w:rFonts w:ascii="Arial" w:hAnsi="Arial" w:cs="Arial"/>
                <w:b/>
              </w:rPr>
            </w:pPr>
            <w:r>
              <w:rPr>
                <w:rFonts w:ascii="Arial" w:hAnsi="Arial" w:cs="Arial"/>
                <w:b/>
              </w:rPr>
              <w:t>Description of Change</w:t>
            </w:r>
          </w:p>
        </w:tc>
      </w:tr>
      <w:tr w:rsidR="0050436C" w14:paraId="46E1CE26" w14:textId="77777777" w:rsidTr="00BA4370">
        <w:tc>
          <w:tcPr>
            <w:tcW w:w="1378" w:type="dxa"/>
            <w:tcBorders>
              <w:top w:val="single" w:sz="4" w:space="0" w:color="auto"/>
              <w:left w:val="single" w:sz="4" w:space="0" w:color="auto"/>
              <w:bottom w:val="single" w:sz="4" w:space="0" w:color="auto"/>
              <w:right w:val="single" w:sz="4" w:space="0" w:color="auto"/>
            </w:tcBorders>
          </w:tcPr>
          <w:p w14:paraId="465A7E33" w14:textId="77777777" w:rsidR="0050436C" w:rsidRPr="00BA4370" w:rsidRDefault="006F4D02">
            <w:pPr>
              <w:spacing w:after="0"/>
              <w:rPr>
                <w:rFonts w:ascii="Arial" w:hAnsi="Arial" w:cs="Arial"/>
              </w:rPr>
            </w:pPr>
            <w:r w:rsidRPr="00BA4370">
              <w:rPr>
                <w:rFonts w:ascii="Arial" w:hAnsi="Arial" w:cs="Arial"/>
              </w:rPr>
              <w:t>2</w:t>
            </w:r>
          </w:p>
        </w:tc>
        <w:tc>
          <w:tcPr>
            <w:tcW w:w="3202" w:type="dxa"/>
            <w:tcBorders>
              <w:top w:val="single" w:sz="4" w:space="0" w:color="auto"/>
              <w:left w:val="single" w:sz="4" w:space="0" w:color="auto"/>
              <w:bottom w:val="single" w:sz="4" w:space="0" w:color="auto"/>
              <w:right w:val="single" w:sz="4" w:space="0" w:color="auto"/>
            </w:tcBorders>
          </w:tcPr>
          <w:p w14:paraId="18A83DED" w14:textId="77777777" w:rsidR="0050436C" w:rsidRPr="00BA4370" w:rsidRDefault="006F4D02">
            <w:pPr>
              <w:spacing w:after="0"/>
              <w:rPr>
                <w:rFonts w:ascii="Arial" w:hAnsi="Arial" w:cs="Arial"/>
              </w:rPr>
            </w:pPr>
            <w:r w:rsidRPr="00BA4370">
              <w:rPr>
                <w:rFonts w:ascii="Arial" w:hAnsi="Arial" w:cs="Arial"/>
              </w:rPr>
              <w:t>Date change</w:t>
            </w:r>
          </w:p>
          <w:p w14:paraId="095C66F2" w14:textId="77777777" w:rsidR="006F4D02" w:rsidRPr="00BA4370" w:rsidRDefault="006F4D02">
            <w:pPr>
              <w:spacing w:after="0"/>
              <w:rPr>
                <w:rFonts w:ascii="Arial" w:hAnsi="Arial" w:cs="Arial"/>
              </w:rPr>
            </w:pPr>
            <w:r w:rsidRPr="00BA4370">
              <w:rPr>
                <w:rFonts w:ascii="Arial" w:hAnsi="Arial" w:cs="Arial"/>
              </w:rPr>
              <w:t>Link updated</w:t>
            </w:r>
          </w:p>
        </w:tc>
        <w:tc>
          <w:tcPr>
            <w:tcW w:w="951" w:type="dxa"/>
            <w:tcBorders>
              <w:top w:val="single" w:sz="4" w:space="0" w:color="auto"/>
              <w:left w:val="single" w:sz="4" w:space="0" w:color="auto"/>
              <w:bottom w:val="single" w:sz="4" w:space="0" w:color="auto"/>
              <w:right w:val="single" w:sz="4" w:space="0" w:color="auto"/>
            </w:tcBorders>
          </w:tcPr>
          <w:p w14:paraId="38E60E15" w14:textId="77777777" w:rsidR="0050436C" w:rsidRPr="00BA4370" w:rsidRDefault="006F4D02">
            <w:pPr>
              <w:spacing w:after="0"/>
              <w:rPr>
                <w:rFonts w:ascii="Arial" w:hAnsi="Arial" w:cs="Arial"/>
              </w:rPr>
            </w:pPr>
            <w:r w:rsidRPr="00BA4370">
              <w:rPr>
                <w:rFonts w:ascii="Arial" w:hAnsi="Arial" w:cs="Arial"/>
              </w:rPr>
              <w:t>3.5.18</w:t>
            </w:r>
          </w:p>
        </w:tc>
        <w:tc>
          <w:tcPr>
            <w:tcW w:w="3711" w:type="dxa"/>
            <w:tcBorders>
              <w:top w:val="single" w:sz="4" w:space="0" w:color="auto"/>
              <w:left w:val="single" w:sz="4" w:space="0" w:color="auto"/>
              <w:bottom w:val="single" w:sz="4" w:space="0" w:color="auto"/>
              <w:right w:val="single" w:sz="4" w:space="0" w:color="auto"/>
            </w:tcBorders>
          </w:tcPr>
          <w:p w14:paraId="6CB70FFF" w14:textId="77777777" w:rsidR="0050436C" w:rsidRPr="00BA4370" w:rsidRDefault="006F4D02">
            <w:pPr>
              <w:spacing w:after="0"/>
              <w:rPr>
                <w:rFonts w:ascii="Arial" w:hAnsi="Arial" w:cs="Arial"/>
              </w:rPr>
            </w:pPr>
            <w:r w:rsidRPr="00BA4370">
              <w:rPr>
                <w:rFonts w:ascii="Arial" w:hAnsi="Arial" w:cs="Arial"/>
              </w:rPr>
              <w:t xml:space="preserve">Policy review date changed to </w:t>
            </w:r>
            <w:r w:rsidR="00696BDF" w:rsidRPr="00BA4370">
              <w:rPr>
                <w:rFonts w:ascii="Arial" w:hAnsi="Arial" w:cs="Arial"/>
              </w:rPr>
              <w:t>May 2022</w:t>
            </w:r>
            <w:r w:rsidRPr="00BA4370">
              <w:rPr>
                <w:rFonts w:ascii="Arial" w:hAnsi="Arial" w:cs="Arial"/>
              </w:rPr>
              <w:t xml:space="preserve">. </w:t>
            </w:r>
          </w:p>
          <w:p w14:paraId="45ED97B5" w14:textId="77777777" w:rsidR="006F4D02" w:rsidRPr="00BA4370" w:rsidRDefault="006F4D02">
            <w:pPr>
              <w:spacing w:after="0"/>
              <w:rPr>
                <w:rFonts w:ascii="Arial" w:hAnsi="Arial" w:cs="Arial"/>
              </w:rPr>
            </w:pPr>
            <w:r w:rsidRPr="00BA4370">
              <w:rPr>
                <w:rFonts w:ascii="Arial" w:hAnsi="Arial" w:cs="Arial"/>
              </w:rPr>
              <w:t>Link updated in Evidence base section.</w:t>
            </w:r>
          </w:p>
        </w:tc>
      </w:tr>
      <w:tr w:rsidR="0050436C" w14:paraId="1982EBC6" w14:textId="77777777" w:rsidTr="00BA4370">
        <w:tc>
          <w:tcPr>
            <w:tcW w:w="1378" w:type="dxa"/>
            <w:tcBorders>
              <w:top w:val="single" w:sz="4" w:space="0" w:color="auto"/>
              <w:left w:val="single" w:sz="4" w:space="0" w:color="auto"/>
              <w:bottom w:val="single" w:sz="4" w:space="0" w:color="auto"/>
              <w:right w:val="single" w:sz="4" w:space="0" w:color="auto"/>
            </w:tcBorders>
          </w:tcPr>
          <w:p w14:paraId="5FAE6803" w14:textId="77777777" w:rsidR="0050436C" w:rsidRPr="00BA4370" w:rsidRDefault="00D56B7F">
            <w:pPr>
              <w:spacing w:after="0"/>
              <w:rPr>
                <w:rFonts w:ascii="Arial" w:hAnsi="Arial" w:cs="Arial"/>
              </w:rPr>
            </w:pPr>
            <w:r w:rsidRPr="00BA4370">
              <w:rPr>
                <w:rFonts w:ascii="Arial" w:hAnsi="Arial" w:cs="Arial"/>
              </w:rPr>
              <w:t>3</w:t>
            </w:r>
          </w:p>
        </w:tc>
        <w:tc>
          <w:tcPr>
            <w:tcW w:w="3202" w:type="dxa"/>
            <w:tcBorders>
              <w:top w:val="single" w:sz="4" w:space="0" w:color="auto"/>
              <w:left w:val="single" w:sz="4" w:space="0" w:color="auto"/>
              <w:bottom w:val="single" w:sz="4" w:space="0" w:color="auto"/>
              <w:right w:val="single" w:sz="4" w:space="0" w:color="auto"/>
            </w:tcBorders>
          </w:tcPr>
          <w:p w14:paraId="40D91D9F" w14:textId="77777777" w:rsidR="0050436C" w:rsidRPr="00BA4370" w:rsidRDefault="00D56B7F">
            <w:pPr>
              <w:spacing w:after="0"/>
              <w:rPr>
                <w:rFonts w:ascii="Arial" w:hAnsi="Arial" w:cs="Arial"/>
              </w:rPr>
            </w:pPr>
            <w:r w:rsidRPr="00BA4370">
              <w:rPr>
                <w:rFonts w:ascii="Arial" w:hAnsi="Arial" w:cs="Arial"/>
              </w:rPr>
              <w:t>Policy type</w:t>
            </w:r>
          </w:p>
        </w:tc>
        <w:tc>
          <w:tcPr>
            <w:tcW w:w="951" w:type="dxa"/>
            <w:tcBorders>
              <w:top w:val="single" w:sz="4" w:space="0" w:color="auto"/>
              <w:left w:val="single" w:sz="4" w:space="0" w:color="auto"/>
              <w:bottom w:val="single" w:sz="4" w:space="0" w:color="auto"/>
              <w:right w:val="single" w:sz="4" w:space="0" w:color="auto"/>
            </w:tcBorders>
          </w:tcPr>
          <w:p w14:paraId="64523121" w14:textId="77777777" w:rsidR="0050436C" w:rsidRPr="00BA4370" w:rsidRDefault="00D56B7F">
            <w:pPr>
              <w:spacing w:after="0"/>
              <w:rPr>
                <w:rFonts w:ascii="Arial" w:hAnsi="Arial" w:cs="Arial"/>
              </w:rPr>
            </w:pPr>
            <w:r w:rsidRPr="00BA4370">
              <w:rPr>
                <w:rFonts w:ascii="Arial" w:hAnsi="Arial" w:cs="Arial"/>
              </w:rPr>
              <w:t>11.6.20</w:t>
            </w:r>
          </w:p>
        </w:tc>
        <w:tc>
          <w:tcPr>
            <w:tcW w:w="3711" w:type="dxa"/>
            <w:tcBorders>
              <w:top w:val="single" w:sz="4" w:space="0" w:color="auto"/>
              <w:left w:val="single" w:sz="4" w:space="0" w:color="auto"/>
              <w:bottom w:val="single" w:sz="4" w:space="0" w:color="auto"/>
              <w:right w:val="single" w:sz="4" w:space="0" w:color="auto"/>
            </w:tcBorders>
          </w:tcPr>
          <w:p w14:paraId="4033AD0F" w14:textId="77777777" w:rsidR="0050436C" w:rsidRPr="00BA4370" w:rsidRDefault="00D56B7F">
            <w:pPr>
              <w:spacing w:after="0"/>
              <w:rPr>
                <w:rFonts w:ascii="Arial" w:hAnsi="Arial" w:cs="Arial"/>
              </w:rPr>
            </w:pPr>
            <w:r w:rsidRPr="00BA4370">
              <w:rPr>
                <w:rFonts w:ascii="Arial" w:hAnsi="Arial" w:cs="Arial"/>
              </w:rPr>
              <w:t>Policy type changed from CBA/PA to CBA as from 1.7.20</w:t>
            </w:r>
          </w:p>
        </w:tc>
      </w:tr>
      <w:tr w:rsidR="00CB4476" w14:paraId="40026064" w14:textId="77777777" w:rsidTr="00BA4370">
        <w:tc>
          <w:tcPr>
            <w:tcW w:w="1378" w:type="dxa"/>
            <w:tcBorders>
              <w:top w:val="single" w:sz="4" w:space="0" w:color="auto"/>
              <w:left w:val="single" w:sz="4" w:space="0" w:color="auto"/>
              <w:bottom w:val="single" w:sz="4" w:space="0" w:color="auto"/>
              <w:right w:val="single" w:sz="4" w:space="0" w:color="auto"/>
            </w:tcBorders>
          </w:tcPr>
          <w:p w14:paraId="5F5B985F" w14:textId="3638B63E" w:rsidR="00CB4476" w:rsidRPr="00BA4370" w:rsidRDefault="00CB4476">
            <w:pPr>
              <w:spacing w:after="0"/>
              <w:rPr>
                <w:rFonts w:ascii="Arial" w:hAnsi="Arial" w:cs="Arial"/>
              </w:rPr>
            </w:pPr>
            <w:r>
              <w:rPr>
                <w:rFonts w:ascii="Arial" w:hAnsi="Arial" w:cs="Arial"/>
              </w:rPr>
              <w:t>4</w:t>
            </w:r>
          </w:p>
        </w:tc>
        <w:tc>
          <w:tcPr>
            <w:tcW w:w="3202" w:type="dxa"/>
            <w:tcBorders>
              <w:top w:val="single" w:sz="4" w:space="0" w:color="auto"/>
              <w:left w:val="single" w:sz="4" w:space="0" w:color="auto"/>
              <w:bottom w:val="single" w:sz="4" w:space="0" w:color="auto"/>
              <w:right w:val="single" w:sz="4" w:space="0" w:color="auto"/>
            </w:tcBorders>
          </w:tcPr>
          <w:p w14:paraId="57F164E7" w14:textId="73A2E6CE" w:rsidR="00CB4476" w:rsidRPr="00BA4370" w:rsidRDefault="00CB4476">
            <w:pPr>
              <w:spacing w:after="0"/>
              <w:rPr>
                <w:rFonts w:ascii="Arial" w:hAnsi="Arial" w:cs="Arial"/>
              </w:rPr>
            </w:pPr>
            <w:r>
              <w:rPr>
                <w:rFonts w:ascii="Arial" w:hAnsi="Arial" w:cs="Arial"/>
              </w:rPr>
              <w:t>Review date</w:t>
            </w:r>
          </w:p>
        </w:tc>
        <w:tc>
          <w:tcPr>
            <w:tcW w:w="951" w:type="dxa"/>
            <w:tcBorders>
              <w:top w:val="single" w:sz="4" w:space="0" w:color="auto"/>
              <w:left w:val="single" w:sz="4" w:space="0" w:color="auto"/>
              <w:bottom w:val="single" w:sz="4" w:space="0" w:color="auto"/>
              <w:right w:val="single" w:sz="4" w:space="0" w:color="auto"/>
            </w:tcBorders>
          </w:tcPr>
          <w:p w14:paraId="62B8DD70" w14:textId="7D5E1790" w:rsidR="00CB4476" w:rsidRPr="00BA4370" w:rsidRDefault="00CB4476">
            <w:pPr>
              <w:spacing w:after="0"/>
              <w:rPr>
                <w:rFonts w:ascii="Arial" w:hAnsi="Arial" w:cs="Arial"/>
              </w:rPr>
            </w:pPr>
            <w:r>
              <w:rPr>
                <w:rFonts w:ascii="Arial" w:hAnsi="Arial" w:cs="Arial"/>
              </w:rPr>
              <w:t>9.6.22</w:t>
            </w:r>
          </w:p>
        </w:tc>
        <w:tc>
          <w:tcPr>
            <w:tcW w:w="3711" w:type="dxa"/>
            <w:tcBorders>
              <w:top w:val="single" w:sz="4" w:space="0" w:color="auto"/>
              <w:left w:val="single" w:sz="4" w:space="0" w:color="auto"/>
              <w:bottom w:val="single" w:sz="4" w:space="0" w:color="auto"/>
              <w:right w:val="single" w:sz="4" w:space="0" w:color="auto"/>
            </w:tcBorders>
          </w:tcPr>
          <w:p w14:paraId="691404A0" w14:textId="5D608D65" w:rsidR="00CB4476" w:rsidRPr="00BA4370" w:rsidRDefault="00CB4476">
            <w:pPr>
              <w:spacing w:after="0"/>
              <w:rPr>
                <w:rFonts w:ascii="Arial" w:hAnsi="Arial" w:cs="Arial"/>
              </w:rPr>
            </w:pPr>
            <w:r>
              <w:rPr>
                <w:rFonts w:ascii="Arial" w:hAnsi="Arial" w:cs="Arial"/>
              </w:rPr>
              <w:t>Review date changed to June 2025</w:t>
            </w:r>
          </w:p>
        </w:tc>
      </w:tr>
    </w:tbl>
    <w:p w14:paraId="4E9BBDCE" w14:textId="77777777" w:rsidR="001E0514" w:rsidRPr="009F19F3" w:rsidRDefault="001E0514" w:rsidP="009F19F3">
      <w:pPr>
        <w:spacing w:after="0"/>
        <w:rPr>
          <w:rFonts w:ascii="Arial" w:hAnsi="Arial" w:cs="Arial"/>
          <w:sz w:val="24"/>
          <w:szCs w:val="24"/>
        </w:rPr>
      </w:pPr>
    </w:p>
    <w:sectPr w:rsidR="001E0514" w:rsidRPr="009F19F3" w:rsidSect="00D637FB">
      <w:headerReference w:type="default" r:id="rId11"/>
      <w:footerReference w:type="default" r:id="rId12"/>
      <w:pgSz w:w="11906" w:h="16838"/>
      <w:pgMar w:top="175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B938E" w14:textId="77777777" w:rsidR="00C60DAB" w:rsidRDefault="00C60DAB" w:rsidP="009F19F3">
      <w:pPr>
        <w:spacing w:after="0" w:line="240" w:lineRule="auto"/>
      </w:pPr>
      <w:r>
        <w:separator/>
      </w:r>
    </w:p>
  </w:endnote>
  <w:endnote w:type="continuationSeparator" w:id="0">
    <w:p w14:paraId="4D42A616" w14:textId="77777777" w:rsidR="00C60DAB" w:rsidRDefault="00C60DAB" w:rsidP="009F1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191861"/>
      <w:docPartObj>
        <w:docPartGallery w:val="Page Numbers (Bottom of Page)"/>
        <w:docPartUnique/>
      </w:docPartObj>
    </w:sdtPr>
    <w:sdtEndPr>
      <w:rPr>
        <w:noProof/>
      </w:rPr>
    </w:sdtEndPr>
    <w:sdtContent>
      <w:p w14:paraId="2BF4DC46" w14:textId="77777777" w:rsidR="009E372D" w:rsidRDefault="00EE4E0C">
        <w:pPr>
          <w:pStyle w:val="Footer"/>
          <w:jc w:val="center"/>
        </w:pPr>
        <w:r>
          <w:t xml:space="preserve">                                                                                         </w:t>
        </w:r>
        <w:r w:rsidR="009E372D">
          <w:fldChar w:fldCharType="begin"/>
        </w:r>
        <w:r w:rsidR="009E372D">
          <w:instrText xml:space="preserve"> PAGE   \* MERGEFORMAT </w:instrText>
        </w:r>
        <w:r w:rsidR="009E372D">
          <w:fldChar w:fldCharType="separate"/>
        </w:r>
        <w:r w:rsidR="00525CC0">
          <w:rPr>
            <w:noProof/>
          </w:rPr>
          <w:t>1</w:t>
        </w:r>
        <w:r w:rsidR="009E372D">
          <w:rPr>
            <w:noProof/>
          </w:rPr>
          <w:fldChar w:fldCharType="end"/>
        </w:r>
        <w:r>
          <w:rPr>
            <w:noProof/>
          </w:rPr>
          <w:t xml:space="preserve">                                                 </w:t>
        </w:r>
        <w:r w:rsidR="00D56B7F">
          <w:rPr>
            <w:noProof/>
          </w:rPr>
          <w:t xml:space="preserve">                              v3</w:t>
        </w:r>
      </w:p>
    </w:sdtContent>
  </w:sdt>
  <w:p w14:paraId="6BB335EE" w14:textId="77777777" w:rsidR="00152245" w:rsidRDefault="00152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EB202" w14:textId="77777777" w:rsidR="00C60DAB" w:rsidRDefault="00C60DAB" w:rsidP="009F19F3">
      <w:pPr>
        <w:spacing w:after="0" w:line="240" w:lineRule="auto"/>
      </w:pPr>
      <w:r>
        <w:separator/>
      </w:r>
    </w:p>
  </w:footnote>
  <w:footnote w:type="continuationSeparator" w:id="0">
    <w:p w14:paraId="12DD840A" w14:textId="77777777" w:rsidR="00C60DAB" w:rsidRDefault="00C60DAB" w:rsidP="009F1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E4C21" w14:textId="77777777" w:rsidR="009F19F3" w:rsidRDefault="009F19F3">
    <w:pPr>
      <w:pStyle w:val="Header"/>
    </w:pPr>
    <w:r>
      <w:rPr>
        <w:noProof/>
        <w:lang w:eastAsia="en-GB"/>
      </w:rPr>
      <mc:AlternateContent>
        <mc:Choice Requires="wps">
          <w:drawing>
            <wp:anchor distT="0" distB="0" distL="114300" distR="114300" simplePos="0" relativeHeight="251659264" behindDoc="0" locked="0" layoutInCell="1" allowOverlap="1" wp14:anchorId="600AAFDB" wp14:editId="15093D5A">
              <wp:simplePos x="0" y="0"/>
              <wp:positionH relativeFrom="column">
                <wp:posOffset>-638175</wp:posOffset>
              </wp:positionH>
              <wp:positionV relativeFrom="paragraph">
                <wp:posOffset>-268606</wp:posOffset>
              </wp:positionV>
              <wp:extent cx="2638425" cy="9048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904875"/>
                      </a:xfrm>
                      <a:prstGeom prst="rect">
                        <a:avLst/>
                      </a:prstGeom>
                      <a:solidFill>
                        <a:srgbClr val="FFFFFF"/>
                      </a:solidFill>
                      <a:ln w="9525">
                        <a:solidFill>
                          <a:srgbClr val="000000"/>
                        </a:solidFill>
                        <a:miter lim="800000"/>
                        <a:headEnd/>
                        <a:tailEnd/>
                      </a:ln>
                    </wps:spPr>
                    <wps:txbx>
                      <w:txbxContent>
                        <w:p w14:paraId="1E83628A" w14:textId="77777777" w:rsidR="009F19F3" w:rsidRDefault="009F19F3" w:rsidP="009F19F3">
                          <w:pPr>
                            <w:spacing w:after="0"/>
                            <w:rPr>
                              <w:b/>
                            </w:rPr>
                          </w:pPr>
                          <w:r>
                            <w:rPr>
                              <w:b/>
                            </w:rPr>
                            <w:t>Policy Category:</w:t>
                          </w:r>
                        </w:p>
                        <w:p w14:paraId="31680E7E" w14:textId="77777777" w:rsidR="009F19F3" w:rsidRPr="00D637FB" w:rsidRDefault="00D56B7F" w:rsidP="009F19F3">
                          <w:pPr>
                            <w:spacing w:after="0"/>
                            <w:rPr>
                              <w:b/>
                              <w:color w:val="FF0000"/>
                            </w:rPr>
                          </w:pPr>
                          <w:r>
                            <w:rPr>
                              <w:b/>
                              <w:color w:val="FF0000"/>
                            </w:rPr>
                            <w:t>CBA</w:t>
                          </w:r>
                        </w:p>
                        <w:p w14:paraId="0000C0C2" w14:textId="77777777" w:rsidR="009C651E" w:rsidRDefault="009C651E" w:rsidP="009F19F3">
                          <w:pPr>
                            <w:spacing w:after="0"/>
                            <w:rPr>
                              <w:b/>
                            </w:rPr>
                          </w:pPr>
                          <w:r>
                            <w:rPr>
                              <w:b/>
                            </w:rPr>
                            <w:t xml:space="preserve">Who </w:t>
                          </w:r>
                          <w:r w:rsidR="00432019">
                            <w:rPr>
                              <w:b/>
                            </w:rPr>
                            <w:t xml:space="preserve">usually </w:t>
                          </w:r>
                          <w:r>
                            <w:rPr>
                              <w:b/>
                            </w:rPr>
                            <w:t>applies for funding?</w:t>
                          </w:r>
                        </w:p>
                        <w:p w14:paraId="37EF82CE" w14:textId="77777777" w:rsidR="009C651E" w:rsidRPr="00432019" w:rsidRDefault="00D56B7F" w:rsidP="009F19F3">
                          <w:pPr>
                            <w:spacing w:after="0"/>
                            <w:rPr>
                              <w:b/>
                              <w:color w:val="FF0000"/>
                            </w:rPr>
                          </w:pPr>
                          <w:r>
                            <w:rPr>
                              <w:b/>
                              <w:color w:val="FF0000"/>
                            </w:rPr>
                            <w:t>Not Applicable</w:t>
                          </w:r>
                        </w:p>
                        <w:p w14:paraId="7A79F8BE" w14:textId="77777777" w:rsidR="009C651E" w:rsidRDefault="009C651E" w:rsidP="009F19F3">
                          <w:pPr>
                            <w:spacing w:after="0"/>
                            <w:rPr>
                              <w:b/>
                            </w:rPr>
                          </w:pPr>
                        </w:p>
                        <w:p w14:paraId="34488BD5" w14:textId="77777777" w:rsidR="009C651E" w:rsidRPr="009C651E" w:rsidRDefault="009C651E" w:rsidP="009F19F3">
                          <w:pPr>
                            <w:spacing w:after="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0AAFDB" id="_x0000_t202" coordsize="21600,21600" o:spt="202" path="m,l,21600r21600,l21600,xe">
              <v:stroke joinstyle="miter"/>
              <v:path gradientshapeok="t" o:connecttype="rect"/>
            </v:shapetype>
            <v:shape id="Text Box 2" o:spid="_x0000_s1026" type="#_x0000_t202" style="position:absolute;margin-left:-50.25pt;margin-top:-21.15pt;width:207.7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">
              <v:textbox>
                <w:txbxContent>
                  <w:p w14:paraId="1E83628A" w14:textId="77777777" w:rsidR="009F19F3" w:rsidRDefault="009F19F3" w:rsidP="009F19F3">
                    <w:pPr>
                      <w:spacing w:after="0"/>
                      <w:rPr>
                        <w:b/>
                      </w:rPr>
                    </w:pPr>
                    <w:r>
                      <w:rPr>
                        <w:b/>
                      </w:rPr>
                      <w:t>Policy Category:</w:t>
                    </w:r>
                  </w:p>
                  <w:p w14:paraId="31680E7E" w14:textId="77777777" w:rsidR="009F19F3" w:rsidRPr="00D637FB" w:rsidRDefault="00D56B7F" w:rsidP="009F19F3">
                    <w:pPr>
                      <w:spacing w:after="0"/>
                      <w:rPr>
                        <w:b/>
                        <w:color w:val="FF0000"/>
                      </w:rPr>
                    </w:pPr>
                    <w:r>
                      <w:rPr>
                        <w:b/>
                        <w:color w:val="FF0000"/>
                      </w:rPr>
                      <w:t>CBA</w:t>
                    </w:r>
                  </w:p>
                  <w:p w14:paraId="0000C0C2" w14:textId="77777777" w:rsidR="009C651E" w:rsidRDefault="009C651E" w:rsidP="009F19F3">
                    <w:pPr>
                      <w:spacing w:after="0"/>
                      <w:rPr>
                        <w:b/>
                      </w:rPr>
                    </w:pPr>
                    <w:r>
                      <w:rPr>
                        <w:b/>
                      </w:rPr>
                      <w:t xml:space="preserve">Who </w:t>
                    </w:r>
                    <w:r w:rsidR="00432019">
                      <w:rPr>
                        <w:b/>
                      </w:rPr>
                      <w:t xml:space="preserve">usually </w:t>
                    </w:r>
                    <w:r>
                      <w:rPr>
                        <w:b/>
                      </w:rPr>
                      <w:t>applies for funding?</w:t>
                    </w:r>
                  </w:p>
                  <w:p w14:paraId="37EF82CE" w14:textId="77777777" w:rsidR="009C651E" w:rsidRPr="00432019" w:rsidRDefault="00D56B7F" w:rsidP="009F19F3">
                    <w:pPr>
                      <w:spacing w:after="0"/>
                      <w:rPr>
                        <w:b/>
                        <w:color w:val="FF0000"/>
                      </w:rPr>
                    </w:pPr>
                    <w:r>
                      <w:rPr>
                        <w:b/>
                        <w:color w:val="FF0000"/>
                      </w:rPr>
                      <w:t>Not Applicable</w:t>
                    </w:r>
                  </w:p>
                  <w:p w14:paraId="7A79F8BE" w14:textId="77777777" w:rsidR="009C651E" w:rsidRDefault="009C651E" w:rsidP="009F19F3">
                    <w:pPr>
                      <w:spacing w:after="0"/>
                      <w:rPr>
                        <w:b/>
                      </w:rPr>
                    </w:pPr>
                  </w:p>
                  <w:p w14:paraId="34488BD5" w14:textId="77777777" w:rsidR="009C651E" w:rsidRPr="009C651E" w:rsidRDefault="009C651E" w:rsidP="009F19F3">
                    <w:pPr>
                      <w:spacing w:after="0"/>
                      <w:rPr>
                        <w: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3ADF"/>
    <w:multiLevelType w:val="multilevel"/>
    <w:tmpl w:val="571A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937EF"/>
    <w:multiLevelType w:val="hybridMultilevel"/>
    <w:tmpl w:val="7D2C6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6F55FD"/>
    <w:multiLevelType w:val="hybridMultilevel"/>
    <w:tmpl w:val="2960C1E2"/>
    <w:lvl w:ilvl="0" w:tplc="676E3D00">
      <w:start w:val="1"/>
      <w:numFmt w:val="bullet"/>
      <w:lvlText w:val=""/>
      <w:lvlJc w:val="left"/>
      <w:pPr>
        <w:tabs>
          <w:tab w:val="num" w:pos="720"/>
        </w:tabs>
        <w:ind w:left="720" w:hanging="3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8C4BC7"/>
    <w:multiLevelType w:val="hybridMultilevel"/>
    <w:tmpl w:val="F440D3E0"/>
    <w:lvl w:ilvl="0" w:tplc="676E3D00">
      <w:start w:val="1"/>
      <w:numFmt w:val="bullet"/>
      <w:lvlText w:val=""/>
      <w:lvlJc w:val="left"/>
      <w:pPr>
        <w:tabs>
          <w:tab w:val="num" w:pos="780"/>
        </w:tabs>
        <w:ind w:left="780" w:hanging="360"/>
      </w:pPr>
      <w:rPr>
        <w:rFonts w:ascii="Symbol" w:hAnsi="Symbol" w:hint="default"/>
        <w:color w:val="auto"/>
        <w:sz w:val="24"/>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19F3"/>
    <w:rsid w:val="00083D8B"/>
    <w:rsid w:val="000F2D60"/>
    <w:rsid w:val="001453C4"/>
    <w:rsid w:val="00152245"/>
    <w:rsid w:val="00183CAA"/>
    <w:rsid w:val="001A55D9"/>
    <w:rsid w:val="001E0514"/>
    <w:rsid w:val="00237AFF"/>
    <w:rsid w:val="00293F28"/>
    <w:rsid w:val="002D40C0"/>
    <w:rsid w:val="00342E94"/>
    <w:rsid w:val="00432019"/>
    <w:rsid w:val="00491DA4"/>
    <w:rsid w:val="0050436C"/>
    <w:rsid w:val="005238D7"/>
    <w:rsid w:val="00525CC0"/>
    <w:rsid w:val="005326D7"/>
    <w:rsid w:val="005400E9"/>
    <w:rsid w:val="00582411"/>
    <w:rsid w:val="00605CC3"/>
    <w:rsid w:val="00696BDF"/>
    <w:rsid w:val="006F4D02"/>
    <w:rsid w:val="00732268"/>
    <w:rsid w:val="00747C2F"/>
    <w:rsid w:val="009C651E"/>
    <w:rsid w:val="009E372D"/>
    <w:rsid w:val="009F19F3"/>
    <w:rsid w:val="00A92511"/>
    <w:rsid w:val="00B16DD9"/>
    <w:rsid w:val="00B41FAF"/>
    <w:rsid w:val="00B952B2"/>
    <w:rsid w:val="00BA4370"/>
    <w:rsid w:val="00BC1495"/>
    <w:rsid w:val="00BC58D6"/>
    <w:rsid w:val="00C40B1E"/>
    <w:rsid w:val="00C60DAB"/>
    <w:rsid w:val="00CB4476"/>
    <w:rsid w:val="00D56B7F"/>
    <w:rsid w:val="00D637FB"/>
    <w:rsid w:val="00EE4E0C"/>
    <w:rsid w:val="00FA3D54"/>
    <w:rsid w:val="00FD5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C50F2C2"/>
  <w15:docId w15:val="{4A10A9B0-D025-4D9A-961B-98619480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9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9F3"/>
  </w:style>
  <w:style w:type="paragraph" w:styleId="Footer">
    <w:name w:val="footer"/>
    <w:basedOn w:val="Normal"/>
    <w:link w:val="FooterChar"/>
    <w:uiPriority w:val="99"/>
    <w:unhideWhenUsed/>
    <w:rsid w:val="009F19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9F3"/>
  </w:style>
  <w:style w:type="paragraph" w:styleId="BalloonText">
    <w:name w:val="Balloon Text"/>
    <w:basedOn w:val="Normal"/>
    <w:link w:val="BalloonTextChar"/>
    <w:uiPriority w:val="99"/>
    <w:semiHidden/>
    <w:unhideWhenUsed/>
    <w:rsid w:val="009F1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9F3"/>
    <w:rPr>
      <w:rFonts w:ascii="Tahoma" w:hAnsi="Tahoma" w:cs="Tahoma"/>
      <w:sz w:val="16"/>
      <w:szCs w:val="16"/>
    </w:rPr>
  </w:style>
  <w:style w:type="table" w:styleId="TableGrid">
    <w:name w:val="Table Grid"/>
    <w:basedOn w:val="TableNormal"/>
    <w:uiPriority w:val="59"/>
    <w:rsid w:val="009F1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3D54"/>
    <w:rPr>
      <w:color w:val="0000FF" w:themeColor="hyperlink"/>
      <w:u w:val="single"/>
    </w:rPr>
  </w:style>
  <w:style w:type="paragraph" w:customStyle="1" w:styleId="Default">
    <w:name w:val="Default"/>
    <w:rsid w:val="00BC58D6"/>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BC58D6"/>
    <w:pPr>
      <w:ind w:left="720"/>
      <w:contextualSpacing/>
    </w:pPr>
  </w:style>
  <w:style w:type="paragraph" w:customStyle="1" w:styleId="CM2">
    <w:name w:val="CM2"/>
    <w:basedOn w:val="Default"/>
    <w:next w:val="Default"/>
    <w:rsid w:val="00D637FB"/>
    <w:pPr>
      <w:widowControl w:val="0"/>
      <w:spacing w:line="276" w:lineRule="atLeast"/>
    </w:pPr>
    <w:rPr>
      <w:rFonts w:cs="Times New Roman"/>
      <w:color w:val="auto"/>
      <w:lang w:eastAsia="en-GB"/>
    </w:rPr>
  </w:style>
  <w:style w:type="paragraph" w:customStyle="1" w:styleId="CM3">
    <w:name w:val="CM3"/>
    <w:basedOn w:val="Default"/>
    <w:next w:val="Default"/>
    <w:rsid w:val="00D637FB"/>
    <w:pPr>
      <w:widowControl w:val="0"/>
      <w:spacing w:line="276" w:lineRule="atLeast"/>
    </w:pPr>
    <w:rPr>
      <w:rFonts w:cs="Times New Roman"/>
      <w:color w:val="auto"/>
      <w:lang w:eastAsia="en-GB"/>
    </w:rPr>
  </w:style>
  <w:style w:type="paragraph" w:styleId="BodyTextIndent">
    <w:name w:val="Body Text Indent"/>
    <w:basedOn w:val="Normal"/>
    <w:link w:val="BodyTextIndentChar"/>
    <w:rsid w:val="00D637FB"/>
    <w:pPr>
      <w:spacing w:after="120" w:line="240" w:lineRule="auto"/>
      <w:ind w:left="283"/>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D637FB"/>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D637FB"/>
    <w:rPr>
      <w:color w:val="800080" w:themeColor="followedHyperlink"/>
      <w:u w:val="single"/>
    </w:rPr>
  </w:style>
  <w:style w:type="paragraph" w:styleId="NormalWeb">
    <w:name w:val="Normal (Web)"/>
    <w:basedOn w:val="Normal"/>
    <w:uiPriority w:val="99"/>
    <w:unhideWhenUsed/>
    <w:rsid w:val="002D40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40C0"/>
    <w:rPr>
      <w:b/>
      <w:bCs/>
    </w:rPr>
  </w:style>
  <w:style w:type="paragraph" w:styleId="BodyText">
    <w:name w:val="Body Text"/>
    <w:basedOn w:val="Normal"/>
    <w:link w:val="BodyTextChar"/>
    <w:uiPriority w:val="99"/>
    <w:semiHidden/>
    <w:unhideWhenUsed/>
    <w:rsid w:val="00A92511"/>
    <w:pPr>
      <w:spacing w:after="120"/>
    </w:pPr>
  </w:style>
  <w:style w:type="character" w:customStyle="1" w:styleId="BodyTextChar">
    <w:name w:val="Body Text Char"/>
    <w:basedOn w:val="DefaultParagraphFont"/>
    <w:link w:val="BodyText"/>
    <w:uiPriority w:val="99"/>
    <w:semiHidden/>
    <w:rsid w:val="00A92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300210">
      <w:bodyDiv w:val="1"/>
      <w:marLeft w:val="0"/>
      <w:marRight w:val="0"/>
      <w:marTop w:val="0"/>
      <w:marBottom w:val="0"/>
      <w:divBdr>
        <w:top w:val="none" w:sz="0" w:space="0" w:color="auto"/>
        <w:left w:val="none" w:sz="0" w:space="0" w:color="auto"/>
        <w:bottom w:val="none" w:sz="0" w:space="0" w:color="auto"/>
        <w:right w:val="none" w:sz="0" w:space="0" w:color="auto"/>
      </w:divBdr>
      <w:divsChild>
        <w:div w:id="1021053366">
          <w:marLeft w:val="0"/>
          <w:marRight w:val="0"/>
          <w:marTop w:val="0"/>
          <w:marBottom w:val="0"/>
          <w:divBdr>
            <w:top w:val="none" w:sz="0" w:space="0" w:color="auto"/>
            <w:left w:val="none" w:sz="0" w:space="0" w:color="auto"/>
            <w:bottom w:val="none" w:sz="0" w:space="0" w:color="auto"/>
            <w:right w:val="none" w:sz="0" w:space="0" w:color="auto"/>
          </w:divBdr>
          <w:divsChild>
            <w:div w:id="73363192">
              <w:marLeft w:val="0"/>
              <w:marRight w:val="0"/>
              <w:marTop w:val="0"/>
              <w:marBottom w:val="0"/>
              <w:divBdr>
                <w:top w:val="none" w:sz="0" w:space="0" w:color="auto"/>
                <w:left w:val="none" w:sz="0" w:space="0" w:color="auto"/>
                <w:bottom w:val="none" w:sz="0" w:space="0" w:color="auto"/>
                <w:right w:val="none" w:sz="0" w:space="0" w:color="auto"/>
              </w:divBdr>
              <w:divsChild>
                <w:div w:id="1375888331">
                  <w:marLeft w:val="0"/>
                  <w:marRight w:val="0"/>
                  <w:marTop w:val="0"/>
                  <w:marBottom w:val="0"/>
                  <w:divBdr>
                    <w:top w:val="none" w:sz="0" w:space="0" w:color="auto"/>
                    <w:left w:val="none" w:sz="0" w:space="0" w:color="auto"/>
                    <w:bottom w:val="none" w:sz="0" w:space="0" w:color="auto"/>
                    <w:right w:val="none" w:sz="0" w:space="0" w:color="auto"/>
                  </w:divBdr>
                  <w:divsChild>
                    <w:div w:id="326519722">
                      <w:marLeft w:val="0"/>
                      <w:marRight w:val="0"/>
                      <w:marTop w:val="0"/>
                      <w:marBottom w:val="0"/>
                      <w:divBdr>
                        <w:top w:val="none" w:sz="0" w:space="0" w:color="auto"/>
                        <w:left w:val="none" w:sz="0" w:space="0" w:color="auto"/>
                        <w:bottom w:val="none" w:sz="0" w:space="0" w:color="auto"/>
                        <w:right w:val="none" w:sz="0" w:space="0" w:color="auto"/>
                      </w:divBdr>
                      <w:divsChild>
                        <w:div w:id="3876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430518">
      <w:bodyDiv w:val="1"/>
      <w:marLeft w:val="0"/>
      <w:marRight w:val="0"/>
      <w:marTop w:val="0"/>
      <w:marBottom w:val="0"/>
      <w:divBdr>
        <w:top w:val="none" w:sz="0" w:space="0" w:color="auto"/>
        <w:left w:val="none" w:sz="0" w:space="0" w:color="auto"/>
        <w:bottom w:val="none" w:sz="0" w:space="0" w:color="auto"/>
        <w:right w:val="none" w:sz="0" w:space="0" w:color="auto"/>
      </w:divBdr>
      <w:divsChild>
        <w:div w:id="2128885786">
          <w:marLeft w:val="0"/>
          <w:marRight w:val="0"/>
          <w:marTop w:val="0"/>
          <w:marBottom w:val="0"/>
          <w:divBdr>
            <w:top w:val="none" w:sz="0" w:space="0" w:color="auto"/>
            <w:left w:val="none" w:sz="0" w:space="0" w:color="auto"/>
            <w:bottom w:val="none" w:sz="0" w:space="0" w:color="auto"/>
            <w:right w:val="none" w:sz="0" w:space="0" w:color="auto"/>
          </w:divBdr>
          <w:divsChild>
            <w:div w:id="1990556544">
              <w:marLeft w:val="0"/>
              <w:marRight w:val="0"/>
              <w:marTop w:val="0"/>
              <w:marBottom w:val="0"/>
              <w:divBdr>
                <w:top w:val="none" w:sz="0" w:space="0" w:color="auto"/>
                <w:left w:val="none" w:sz="0" w:space="0" w:color="auto"/>
                <w:bottom w:val="none" w:sz="0" w:space="0" w:color="auto"/>
                <w:right w:val="none" w:sz="0" w:space="0" w:color="auto"/>
              </w:divBdr>
              <w:divsChild>
                <w:div w:id="999769806">
                  <w:marLeft w:val="0"/>
                  <w:marRight w:val="0"/>
                  <w:marTop w:val="0"/>
                  <w:marBottom w:val="0"/>
                  <w:divBdr>
                    <w:top w:val="none" w:sz="0" w:space="0" w:color="auto"/>
                    <w:left w:val="none" w:sz="0" w:space="0" w:color="auto"/>
                    <w:bottom w:val="none" w:sz="0" w:space="0" w:color="auto"/>
                    <w:right w:val="none" w:sz="0" w:space="0" w:color="auto"/>
                  </w:divBdr>
                  <w:divsChild>
                    <w:div w:id="1686788664">
                      <w:marLeft w:val="0"/>
                      <w:marRight w:val="0"/>
                      <w:marTop w:val="0"/>
                      <w:marBottom w:val="0"/>
                      <w:divBdr>
                        <w:top w:val="none" w:sz="0" w:space="0" w:color="auto"/>
                        <w:left w:val="none" w:sz="0" w:space="0" w:color="auto"/>
                        <w:bottom w:val="none" w:sz="0" w:space="0" w:color="auto"/>
                        <w:right w:val="none" w:sz="0" w:space="0" w:color="auto"/>
                      </w:divBdr>
                      <w:divsChild>
                        <w:div w:id="139758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912510">
      <w:bodyDiv w:val="1"/>
      <w:marLeft w:val="0"/>
      <w:marRight w:val="0"/>
      <w:marTop w:val="0"/>
      <w:marBottom w:val="0"/>
      <w:divBdr>
        <w:top w:val="none" w:sz="0" w:space="0" w:color="auto"/>
        <w:left w:val="none" w:sz="0" w:space="0" w:color="auto"/>
        <w:bottom w:val="none" w:sz="0" w:space="0" w:color="auto"/>
        <w:right w:val="none" w:sz="0" w:space="0" w:color="auto"/>
      </w:divBdr>
    </w:div>
    <w:div w:id="1423256163">
      <w:bodyDiv w:val="1"/>
      <w:marLeft w:val="0"/>
      <w:marRight w:val="0"/>
      <w:marTop w:val="0"/>
      <w:marBottom w:val="0"/>
      <w:divBdr>
        <w:top w:val="none" w:sz="0" w:space="0" w:color="auto"/>
        <w:left w:val="none" w:sz="0" w:space="0" w:color="auto"/>
        <w:bottom w:val="none" w:sz="0" w:space="0" w:color="auto"/>
        <w:right w:val="none" w:sz="0" w:space="0" w:color="auto"/>
      </w:divBdr>
      <w:divsChild>
        <w:div w:id="527989984">
          <w:marLeft w:val="0"/>
          <w:marRight w:val="0"/>
          <w:marTop w:val="0"/>
          <w:marBottom w:val="0"/>
          <w:divBdr>
            <w:top w:val="none" w:sz="0" w:space="0" w:color="auto"/>
            <w:left w:val="none" w:sz="0" w:space="0" w:color="auto"/>
            <w:bottom w:val="none" w:sz="0" w:space="0" w:color="auto"/>
            <w:right w:val="none" w:sz="0" w:space="0" w:color="auto"/>
          </w:divBdr>
          <w:divsChild>
            <w:div w:id="1282959968">
              <w:marLeft w:val="0"/>
              <w:marRight w:val="0"/>
              <w:marTop w:val="0"/>
              <w:marBottom w:val="0"/>
              <w:divBdr>
                <w:top w:val="none" w:sz="0" w:space="0" w:color="auto"/>
                <w:left w:val="none" w:sz="0" w:space="0" w:color="auto"/>
                <w:bottom w:val="none" w:sz="0" w:space="0" w:color="auto"/>
                <w:right w:val="none" w:sz="0" w:space="0" w:color="auto"/>
              </w:divBdr>
              <w:divsChild>
                <w:div w:id="600145390">
                  <w:marLeft w:val="0"/>
                  <w:marRight w:val="0"/>
                  <w:marTop w:val="0"/>
                  <w:marBottom w:val="0"/>
                  <w:divBdr>
                    <w:top w:val="none" w:sz="0" w:space="0" w:color="auto"/>
                    <w:left w:val="none" w:sz="0" w:space="0" w:color="auto"/>
                    <w:bottom w:val="none" w:sz="0" w:space="0" w:color="auto"/>
                    <w:right w:val="none" w:sz="0" w:space="0" w:color="auto"/>
                  </w:divBdr>
                  <w:divsChild>
                    <w:div w:id="239146727">
                      <w:marLeft w:val="0"/>
                      <w:marRight w:val="0"/>
                      <w:marTop w:val="0"/>
                      <w:marBottom w:val="0"/>
                      <w:divBdr>
                        <w:top w:val="none" w:sz="0" w:space="0" w:color="auto"/>
                        <w:left w:val="none" w:sz="0" w:space="0" w:color="auto"/>
                        <w:bottom w:val="none" w:sz="0" w:space="0" w:color="auto"/>
                        <w:right w:val="none" w:sz="0" w:space="0" w:color="auto"/>
                      </w:divBdr>
                      <w:divsChild>
                        <w:div w:id="119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473681">
      <w:bodyDiv w:val="1"/>
      <w:marLeft w:val="0"/>
      <w:marRight w:val="0"/>
      <w:marTop w:val="0"/>
      <w:marBottom w:val="0"/>
      <w:divBdr>
        <w:top w:val="none" w:sz="0" w:space="0" w:color="auto"/>
        <w:left w:val="none" w:sz="0" w:space="0" w:color="auto"/>
        <w:bottom w:val="none" w:sz="0" w:space="0" w:color="auto"/>
        <w:right w:val="none" w:sz="0" w:space="0" w:color="auto"/>
      </w:divBdr>
    </w:div>
    <w:div w:id="2077782570">
      <w:bodyDiv w:val="1"/>
      <w:marLeft w:val="0"/>
      <w:marRight w:val="0"/>
      <w:marTop w:val="0"/>
      <w:marBottom w:val="0"/>
      <w:divBdr>
        <w:top w:val="none" w:sz="0" w:space="0" w:color="auto"/>
        <w:left w:val="none" w:sz="0" w:space="0" w:color="auto"/>
        <w:bottom w:val="none" w:sz="0" w:space="0" w:color="auto"/>
        <w:right w:val="none" w:sz="0" w:space="0" w:color="auto"/>
      </w:divBdr>
      <w:divsChild>
        <w:div w:id="1082726225">
          <w:marLeft w:val="0"/>
          <w:marRight w:val="0"/>
          <w:marTop w:val="0"/>
          <w:marBottom w:val="0"/>
          <w:divBdr>
            <w:top w:val="none" w:sz="0" w:space="0" w:color="auto"/>
            <w:left w:val="none" w:sz="0" w:space="0" w:color="auto"/>
            <w:bottom w:val="none" w:sz="0" w:space="0" w:color="auto"/>
            <w:right w:val="none" w:sz="0" w:space="0" w:color="auto"/>
          </w:divBdr>
          <w:divsChild>
            <w:div w:id="1019160120">
              <w:marLeft w:val="0"/>
              <w:marRight w:val="0"/>
              <w:marTop w:val="0"/>
              <w:marBottom w:val="0"/>
              <w:divBdr>
                <w:top w:val="none" w:sz="0" w:space="0" w:color="auto"/>
                <w:left w:val="none" w:sz="0" w:space="0" w:color="auto"/>
                <w:bottom w:val="none" w:sz="0" w:space="0" w:color="auto"/>
                <w:right w:val="none" w:sz="0" w:space="0" w:color="auto"/>
              </w:divBdr>
              <w:divsChild>
                <w:div w:id="1180315019">
                  <w:marLeft w:val="0"/>
                  <w:marRight w:val="0"/>
                  <w:marTop w:val="0"/>
                  <w:marBottom w:val="0"/>
                  <w:divBdr>
                    <w:top w:val="none" w:sz="0" w:space="0" w:color="auto"/>
                    <w:left w:val="none" w:sz="0" w:space="0" w:color="auto"/>
                    <w:bottom w:val="none" w:sz="0" w:space="0" w:color="auto"/>
                    <w:right w:val="none" w:sz="0" w:space="0" w:color="auto"/>
                  </w:divBdr>
                  <w:divsChild>
                    <w:div w:id="116418402">
                      <w:marLeft w:val="0"/>
                      <w:marRight w:val="0"/>
                      <w:marTop w:val="0"/>
                      <w:marBottom w:val="0"/>
                      <w:divBdr>
                        <w:top w:val="none" w:sz="0" w:space="0" w:color="auto"/>
                        <w:left w:val="none" w:sz="0" w:space="0" w:color="auto"/>
                        <w:bottom w:val="none" w:sz="0" w:space="0" w:color="auto"/>
                        <w:right w:val="none" w:sz="0" w:space="0" w:color="auto"/>
                      </w:divBdr>
                      <w:divsChild>
                        <w:div w:id="117973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513375">
      <w:bodyDiv w:val="1"/>
      <w:marLeft w:val="0"/>
      <w:marRight w:val="0"/>
      <w:marTop w:val="0"/>
      <w:marBottom w:val="0"/>
      <w:divBdr>
        <w:top w:val="none" w:sz="0" w:space="0" w:color="auto"/>
        <w:left w:val="none" w:sz="0" w:space="0" w:color="auto"/>
        <w:bottom w:val="none" w:sz="0" w:space="0" w:color="auto"/>
        <w:right w:val="none" w:sz="0" w:space="0" w:color="auto"/>
      </w:divBdr>
    </w:div>
    <w:div w:id="214257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LCCG.IFR@nhs.net" TargetMode="External"/><Relationship Id="rId4" Type="http://schemas.openxmlformats.org/officeDocument/2006/relationships/settings" Target="settings.xml"/><Relationship Id="rId9" Type="http://schemas.openxmlformats.org/officeDocument/2006/relationships/hyperlink" Target="http://www.bssh.ac.uk/professionals/best_guidelines_on_trigger_finger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B946A-7069-4FC5-B8B0-29E217FFB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ITC-JG</dc:creator>
  <cp:lastModifiedBy>HIGGINS, Jacky (NHS GLOUCESTERSHIRE CCG)</cp:lastModifiedBy>
  <cp:revision>2</cp:revision>
  <dcterms:created xsi:type="dcterms:W3CDTF">2022-06-15T10:09:00Z</dcterms:created>
  <dcterms:modified xsi:type="dcterms:W3CDTF">2022-06-15T10:09:00Z</dcterms:modified>
</cp:coreProperties>
</file>